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8841C" w14:textId="1EA30758" w:rsidR="006C26D1" w:rsidRPr="005C2CEC" w:rsidRDefault="00CA610E" w:rsidP="005C2CEC">
      <w:pPr>
        <w:spacing w:before="120" w:after="120"/>
        <w:jc w:val="center"/>
        <w:outlineLvl w:val="0"/>
        <w:rPr>
          <w:rFonts w:asciiTheme="minorBidi" w:hAnsiTheme="minorBidi"/>
          <w:color w:val="000000" w:themeColor="text1"/>
        </w:rPr>
      </w:pPr>
      <w:r w:rsidRPr="0028312F">
        <w:rPr>
          <w:rFonts w:asciiTheme="minorBidi" w:hAnsiTheme="minorBidi"/>
          <w:b/>
          <w:bCs/>
          <w:color w:val="000000" w:themeColor="text1"/>
        </w:rPr>
        <w:t xml:space="preserve">Practice </w:t>
      </w:r>
      <w:r w:rsidRPr="005C2CEC">
        <w:rPr>
          <w:rFonts w:asciiTheme="minorBidi" w:hAnsiTheme="minorBidi"/>
          <w:b/>
          <w:bCs/>
          <w:color w:val="000000" w:themeColor="text1"/>
        </w:rPr>
        <w:t>Changing Articles – 2019 Adult Literature</w:t>
      </w:r>
    </w:p>
    <w:p w14:paraId="7CB86834" w14:textId="3AE89407" w:rsidR="006C26D1" w:rsidRPr="005C2CEC" w:rsidRDefault="006C26D1" w:rsidP="005C2CEC">
      <w:pPr>
        <w:spacing w:before="120" w:after="120"/>
        <w:jc w:val="center"/>
        <w:outlineLvl w:val="0"/>
        <w:rPr>
          <w:rFonts w:asciiTheme="minorBidi" w:hAnsiTheme="minorBidi"/>
          <w:color w:val="000000" w:themeColor="text1"/>
        </w:rPr>
      </w:pPr>
      <w:r w:rsidRPr="005C2CEC">
        <w:rPr>
          <w:rFonts w:asciiTheme="minorBidi" w:hAnsiTheme="minorBidi"/>
          <w:color w:val="000000" w:themeColor="text1"/>
        </w:rPr>
        <w:t>Brit Long, MD, FACEP</w:t>
      </w:r>
    </w:p>
    <w:p w14:paraId="0783B52D" w14:textId="77777777" w:rsidR="00E5593F" w:rsidRPr="005C2CEC" w:rsidRDefault="00E5593F" w:rsidP="005C2CEC">
      <w:pPr>
        <w:spacing w:before="120" w:after="120"/>
        <w:jc w:val="center"/>
        <w:outlineLvl w:val="0"/>
        <w:rPr>
          <w:rFonts w:asciiTheme="minorBidi" w:hAnsiTheme="minorBidi"/>
          <w:color w:val="000000" w:themeColor="text1"/>
        </w:rPr>
      </w:pPr>
    </w:p>
    <w:p w14:paraId="35CB38E4" w14:textId="62BDD2C9" w:rsidR="00CA610E" w:rsidRPr="005C2CEC" w:rsidRDefault="00AC011F" w:rsidP="005C2CEC">
      <w:pPr>
        <w:rPr>
          <w:rFonts w:asciiTheme="minorBidi" w:hAnsiTheme="minorBidi"/>
        </w:rPr>
      </w:pPr>
      <w:r w:rsidRPr="005C2CEC">
        <w:rPr>
          <w:rFonts w:asciiTheme="minorBidi" w:hAnsiTheme="minorBidi"/>
          <w:b/>
          <w:bCs/>
          <w:color w:val="000000" w:themeColor="text1"/>
        </w:rPr>
        <w:t>Study 1 -</w:t>
      </w:r>
      <w:r w:rsidRPr="005C2CEC">
        <w:rPr>
          <w:rFonts w:asciiTheme="minorBidi" w:eastAsia="Times New Roman" w:hAnsiTheme="minorBidi"/>
          <w:b/>
          <w:bCs/>
          <w:color w:val="000000" w:themeColor="text1"/>
          <w:kern w:val="36"/>
        </w:rPr>
        <w:t xml:space="preserve"> </w:t>
      </w:r>
      <w:r w:rsidR="00CA610E" w:rsidRPr="005C2CEC">
        <w:rPr>
          <w:rFonts w:asciiTheme="minorBidi" w:hAnsiTheme="minorBidi"/>
          <w:b/>
          <w:bCs/>
          <w:spacing w:val="5"/>
        </w:rPr>
        <w:t xml:space="preserve">Targeted Temperature Management for Cardiac Arrest with </w:t>
      </w:r>
      <w:proofErr w:type="spellStart"/>
      <w:r w:rsidR="00CA610E" w:rsidRPr="005C2CEC">
        <w:rPr>
          <w:rFonts w:asciiTheme="minorBidi" w:hAnsiTheme="minorBidi"/>
          <w:b/>
          <w:bCs/>
          <w:spacing w:val="5"/>
        </w:rPr>
        <w:t>Nonshockable</w:t>
      </w:r>
      <w:proofErr w:type="spellEnd"/>
      <w:r w:rsidR="00CA610E" w:rsidRPr="005C2CEC">
        <w:rPr>
          <w:rFonts w:asciiTheme="minorBidi" w:hAnsiTheme="minorBidi"/>
          <w:b/>
          <w:bCs/>
          <w:spacing w:val="5"/>
        </w:rPr>
        <w:t xml:space="preserve"> Rhythm.</w:t>
      </w:r>
      <w:r w:rsidR="00CA610E" w:rsidRPr="005C2CEC">
        <w:rPr>
          <w:rFonts w:asciiTheme="minorBidi" w:hAnsiTheme="minorBidi"/>
          <w:spacing w:val="5"/>
          <w:shd w:val="clear" w:color="auto" w:fill="FFFFFF"/>
        </w:rPr>
        <w:t xml:space="preserve"> N </w:t>
      </w:r>
      <w:proofErr w:type="spellStart"/>
      <w:r w:rsidR="00CA610E" w:rsidRPr="005C2CEC">
        <w:rPr>
          <w:rFonts w:asciiTheme="minorBidi" w:hAnsiTheme="minorBidi"/>
          <w:spacing w:val="5"/>
          <w:shd w:val="clear" w:color="auto" w:fill="FFFFFF"/>
        </w:rPr>
        <w:t>Engl</w:t>
      </w:r>
      <w:proofErr w:type="spellEnd"/>
      <w:r w:rsidR="00CA610E" w:rsidRPr="005C2CEC">
        <w:rPr>
          <w:rFonts w:asciiTheme="minorBidi" w:hAnsiTheme="minorBidi"/>
          <w:spacing w:val="5"/>
          <w:shd w:val="clear" w:color="auto" w:fill="FFFFFF"/>
        </w:rPr>
        <w:t xml:space="preserve"> J Med. 2019 Oct 2. </w:t>
      </w:r>
      <w:proofErr w:type="spellStart"/>
      <w:r w:rsidR="00CA610E" w:rsidRPr="005C2CEC">
        <w:rPr>
          <w:rFonts w:asciiTheme="minorBidi" w:hAnsiTheme="minorBidi"/>
          <w:spacing w:val="5"/>
          <w:shd w:val="clear" w:color="auto" w:fill="FFFFFF"/>
        </w:rPr>
        <w:t>doi</w:t>
      </w:r>
      <w:proofErr w:type="spellEnd"/>
      <w:r w:rsidR="00CA610E" w:rsidRPr="005C2CEC">
        <w:rPr>
          <w:rFonts w:asciiTheme="minorBidi" w:hAnsiTheme="minorBidi"/>
          <w:spacing w:val="5"/>
          <w:shd w:val="clear" w:color="auto" w:fill="FFFFFF"/>
        </w:rPr>
        <w:t>: 10.1056/NEJMoa1906661. [</w:t>
      </w:r>
      <w:proofErr w:type="spellStart"/>
      <w:r w:rsidR="00CA610E" w:rsidRPr="005C2CEC">
        <w:rPr>
          <w:rFonts w:asciiTheme="minorBidi" w:hAnsiTheme="minorBidi"/>
          <w:spacing w:val="5"/>
          <w:shd w:val="clear" w:color="auto" w:fill="FFFFFF"/>
        </w:rPr>
        <w:t>Epub</w:t>
      </w:r>
      <w:proofErr w:type="spellEnd"/>
      <w:r w:rsidR="00CA610E" w:rsidRPr="005C2CEC">
        <w:rPr>
          <w:rFonts w:asciiTheme="minorBidi" w:hAnsiTheme="minorBidi"/>
          <w:spacing w:val="5"/>
          <w:shd w:val="clear" w:color="auto" w:fill="FFFFFF"/>
        </w:rPr>
        <w:t xml:space="preserve"> ahead of print]</w:t>
      </w:r>
    </w:p>
    <w:p w14:paraId="34AD9816" w14:textId="77777777" w:rsidR="00BF5EDB" w:rsidRPr="005C2CEC" w:rsidRDefault="00BF5EDB" w:rsidP="005C2CEC">
      <w:pPr>
        <w:rPr>
          <w:rFonts w:asciiTheme="minorBidi" w:eastAsia="Times New Roman" w:hAnsiTheme="minorBidi"/>
          <w:b/>
          <w:bCs/>
          <w:color w:val="000000" w:themeColor="text1"/>
        </w:rPr>
      </w:pPr>
    </w:p>
    <w:p w14:paraId="5FAA9F4B" w14:textId="56B0355B" w:rsidR="00AC011F" w:rsidRPr="005C2CEC" w:rsidRDefault="00AC011F" w:rsidP="005C2CEC">
      <w:pPr>
        <w:rPr>
          <w:rFonts w:asciiTheme="minorBidi" w:eastAsia="Times New Roman" w:hAnsiTheme="minorBidi"/>
        </w:rPr>
      </w:pPr>
      <w:r w:rsidRPr="005C2CEC">
        <w:rPr>
          <w:rFonts w:asciiTheme="minorBidi" w:eastAsia="Times New Roman" w:hAnsiTheme="minorBidi"/>
          <w:b/>
          <w:bCs/>
          <w:color w:val="000000" w:themeColor="text1"/>
        </w:rPr>
        <w:t>Takeaway</w:t>
      </w:r>
      <w:r w:rsidRPr="005C2CEC">
        <w:rPr>
          <w:rFonts w:asciiTheme="minorBidi" w:eastAsia="Times New Roman" w:hAnsiTheme="minorBidi"/>
          <w:color w:val="000000" w:themeColor="text1"/>
        </w:rPr>
        <w:t xml:space="preserve"> – </w:t>
      </w:r>
      <w:r w:rsidR="000B4CFB" w:rsidRPr="005C2CEC">
        <w:rPr>
          <w:rFonts w:asciiTheme="minorBidi" w:eastAsia="Times New Roman" w:hAnsiTheme="minorBidi"/>
          <w:color w:val="000000" w:themeColor="text1"/>
        </w:rPr>
        <w:t xml:space="preserve">This </w:t>
      </w:r>
      <w:r w:rsidR="00CA610E" w:rsidRPr="005C2CEC">
        <w:rPr>
          <w:rFonts w:asciiTheme="minorBidi" w:eastAsia="Times New Roman" w:hAnsiTheme="minorBidi"/>
          <w:color w:val="000000" w:themeColor="text1"/>
        </w:rPr>
        <w:t xml:space="preserve">RCT included patients &gt; 18 years of age with ROSC after </w:t>
      </w:r>
      <w:proofErr w:type="spellStart"/>
      <w:r w:rsidR="00CA610E" w:rsidRPr="005C2CEC">
        <w:rPr>
          <w:rFonts w:asciiTheme="minorBidi" w:eastAsia="Times New Roman" w:hAnsiTheme="minorBidi"/>
          <w:color w:val="000000" w:themeColor="text1"/>
        </w:rPr>
        <w:t>nonshockable</w:t>
      </w:r>
      <w:proofErr w:type="spellEnd"/>
      <w:r w:rsidR="00CA610E" w:rsidRPr="005C2CEC">
        <w:rPr>
          <w:rFonts w:asciiTheme="minorBidi" w:eastAsia="Times New Roman" w:hAnsiTheme="minorBidi"/>
          <w:color w:val="000000" w:themeColor="text1"/>
        </w:rPr>
        <w:t xml:space="preserve"> rhythm. Patients were randomized 1:1 to 3</w:t>
      </w:r>
      <w:r w:rsidR="00DD0A17">
        <w:rPr>
          <w:rFonts w:asciiTheme="minorBidi" w:eastAsia="Times New Roman" w:hAnsiTheme="minorBidi"/>
          <w:color w:val="000000" w:themeColor="text1"/>
        </w:rPr>
        <w:t>2.5-33.5</w:t>
      </w:r>
      <w:r w:rsidR="00CA610E" w:rsidRPr="005C2CEC">
        <w:rPr>
          <w:rFonts w:asciiTheme="minorBidi" w:eastAsia="Times New Roman" w:hAnsiTheme="minorBidi"/>
          <w:color w:val="000000" w:themeColor="text1"/>
        </w:rPr>
        <w:t xml:space="preserve"> C vs 36.5-37.5 C. </w:t>
      </w:r>
      <w:r w:rsidR="00BF5EDB" w:rsidRPr="005C2CEC">
        <w:rPr>
          <w:rFonts w:asciiTheme="minorBidi" w:eastAsia="Times New Roman" w:hAnsiTheme="minorBidi"/>
          <w:color w:val="000000" w:themeColor="text1"/>
        </w:rPr>
        <w:t>T</w:t>
      </w:r>
      <w:r w:rsidR="00CA610E" w:rsidRPr="005C2CEC">
        <w:rPr>
          <w:rFonts w:asciiTheme="minorBidi" w:eastAsia="Times New Roman" w:hAnsiTheme="minorBidi"/>
          <w:spacing w:val="5"/>
          <w:shd w:val="clear" w:color="auto" w:fill="FFFFFF"/>
        </w:rPr>
        <w:t xml:space="preserve">he primary outcome was 90-day survival with a favorable neurologic outcome, defined as a CPC score of 1 or 2. They found 10.2% of the hypothermia protocol patients had a good neurologic outcome </w:t>
      </w:r>
      <w:r w:rsidR="008629B8">
        <w:rPr>
          <w:rFonts w:asciiTheme="minorBidi" w:eastAsia="Times New Roman" w:hAnsiTheme="minorBidi"/>
          <w:spacing w:val="5"/>
          <w:shd w:val="clear" w:color="auto" w:fill="FFFFFF"/>
        </w:rPr>
        <w:t>versus</w:t>
      </w:r>
      <w:r w:rsidR="00CA610E" w:rsidRPr="005C2CEC">
        <w:rPr>
          <w:rFonts w:asciiTheme="minorBidi" w:eastAsia="Times New Roman" w:hAnsiTheme="minorBidi"/>
          <w:spacing w:val="5"/>
          <w:shd w:val="clear" w:color="auto" w:fill="FFFFFF"/>
        </w:rPr>
        <w:t xml:space="preserve"> only 5.7% in the normothermia group (absolute difference 4.5%, 95% CI 0.1% - 8.9%, p = 0.04).</w:t>
      </w:r>
      <w:r w:rsidR="00CA610E" w:rsidRPr="005C2CEC">
        <w:rPr>
          <w:rFonts w:asciiTheme="minorBidi" w:eastAsia="Times New Roman" w:hAnsiTheme="minorBidi"/>
        </w:rPr>
        <w:t xml:space="preserve"> However, there are multiple issues based on timing of hypothermia, sedation, and fragility index of 1.</w:t>
      </w:r>
    </w:p>
    <w:p w14:paraId="2B84C5C0" w14:textId="77777777" w:rsidR="00944DC1" w:rsidRPr="005C2CEC" w:rsidRDefault="00944DC1" w:rsidP="005C2CEC">
      <w:pPr>
        <w:rPr>
          <w:rFonts w:asciiTheme="minorBidi" w:hAnsiTheme="minorBidi"/>
          <w:color w:val="000000" w:themeColor="text1"/>
        </w:rPr>
      </w:pPr>
    </w:p>
    <w:p w14:paraId="0F42396D" w14:textId="7B17BAE3" w:rsidR="00631D8F" w:rsidRPr="005C2CEC" w:rsidRDefault="00AC011F" w:rsidP="005C2CEC">
      <w:pPr>
        <w:rPr>
          <w:rFonts w:asciiTheme="minorBidi" w:hAnsiTheme="minorBidi"/>
          <w:spacing w:val="5"/>
          <w:shd w:val="clear" w:color="auto" w:fill="FFFFFF"/>
        </w:rPr>
      </w:pPr>
      <w:r w:rsidRPr="005C2CEC">
        <w:rPr>
          <w:rFonts w:asciiTheme="minorBidi" w:hAnsiTheme="minorBidi"/>
          <w:b/>
          <w:bCs/>
          <w:color w:val="000000" w:themeColor="text1"/>
        </w:rPr>
        <w:t xml:space="preserve">Study 2 - </w:t>
      </w:r>
      <w:r w:rsidR="00944DC1" w:rsidRPr="005C2CEC">
        <w:rPr>
          <w:rFonts w:asciiTheme="minorBidi" w:hAnsiTheme="minorBidi"/>
          <w:b/>
          <w:bCs/>
          <w:spacing w:val="5"/>
        </w:rPr>
        <w:t>Effect of a fluid bolus on cardiovascular collapse among critically ill adults undergoing tracheal intubation (</w:t>
      </w:r>
      <w:proofErr w:type="spellStart"/>
      <w:r w:rsidR="00944DC1" w:rsidRPr="005C2CEC">
        <w:rPr>
          <w:rFonts w:asciiTheme="minorBidi" w:hAnsiTheme="minorBidi"/>
          <w:b/>
          <w:bCs/>
          <w:spacing w:val="5"/>
        </w:rPr>
        <w:t>PrePARE</w:t>
      </w:r>
      <w:proofErr w:type="spellEnd"/>
      <w:r w:rsidR="00944DC1" w:rsidRPr="005C2CEC">
        <w:rPr>
          <w:rFonts w:asciiTheme="minorBidi" w:hAnsiTheme="minorBidi"/>
          <w:b/>
          <w:bCs/>
          <w:spacing w:val="5"/>
        </w:rPr>
        <w:t xml:space="preserve">): a </w:t>
      </w:r>
      <w:proofErr w:type="spellStart"/>
      <w:r w:rsidR="00944DC1" w:rsidRPr="005C2CEC">
        <w:rPr>
          <w:rFonts w:asciiTheme="minorBidi" w:hAnsiTheme="minorBidi"/>
          <w:b/>
          <w:bCs/>
          <w:spacing w:val="5"/>
        </w:rPr>
        <w:t>randomised</w:t>
      </w:r>
      <w:proofErr w:type="spellEnd"/>
      <w:r w:rsidR="00944DC1" w:rsidRPr="005C2CEC">
        <w:rPr>
          <w:rFonts w:asciiTheme="minorBidi" w:hAnsiTheme="minorBidi"/>
          <w:b/>
          <w:bCs/>
          <w:spacing w:val="5"/>
        </w:rPr>
        <w:t xml:space="preserve"> controlled trial.</w:t>
      </w:r>
      <w:r w:rsidR="00944DC1" w:rsidRPr="005C2CEC">
        <w:rPr>
          <w:rFonts w:asciiTheme="minorBidi" w:hAnsiTheme="minorBidi"/>
          <w:spacing w:val="5"/>
          <w:shd w:val="clear" w:color="auto" w:fill="FFFFFF"/>
        </w:rPr>
        <w:t xml:space="preserve"> Lancet Respir Med. 2019 Oct 1. </w:t>
      </w:r>
      <w:proofErr w:type="spellStart"/>
      <w:r w:rsidR="00944DC1" w:rsidRPr="005C2CEC">
        <w:rPr>
          <w:rFonts w:asciiTheme="minorBidi" w:hAnsiTheme="minorBidi"/>
          <w:spacing w:val="5"/>
          <w:shd w:val="clear" w:color="auto" w:fill="FFFFFF"/>
        </w:rPr>
        <w:t>pii</w:t>
      </w:r>
      <w:proofErr w:type="spellEnd"/>
      <w:r w:rsidR="00944DC1" w:rsidRPr="005C2CEC">
        <w:rPr>
          <w:rFonts w:asciiTheme="minorBidi" w:hAnsiTheme="minorBidi"/>
          <w:spacing w:val="5"/>
          <w:shd w:val="clear" w:color="auto" w:fill="FFFFFF"/>
        </w:rPr>
        <w:t xml:space="preserve">: S2213-2600(19)30246-2. </w:t>
      </w:r>
      <w:proofErr w:type="spellStart"/>
      <w:r w:rsidR="00944DC1" w:rsidRPr="005C2CEC">
        <w:rPr>
          <w:rFonts w:asciiTheme="minorBidi" w:hAnsiTheme="minorBidi"/>
          <w:spacing w:val="5"/>
          <w:shd w:val="clear" w:color="auto" w:fill="FFFFFF"/>
        </w:rPr>
        <w:t>doi</w:t>
      </w:r>
      <w:proofErr w:type="spellEnd"/>
      <w:r w:rsidR="00944DC1" w:rsidRPr="005C2CEC">
        <w:rPr>
          <w:rFonts w:asciiTheme="minorBidi" w:hAnsiTheme="minorBidi"/>
          <w:spacing w:val="5"/>
          <w:shd w:val="clear" w:color="auto" w:fill="FFFFFF"/>
        </w:rPr>
        <w:t>: 10.1016/S2213-2600(19)30246-2. [</w:t>
      </w:r>
      <w:proofErr w:type="spellStart"/>
      <w:r w:rsidR="00944DC1" w:rsidRPr="005C2CEC">
        <w:rPr>
          <w:rFonts w:asciiTheme="minorBidi" w:hAnsiTheme="minorBidi"/>
          <w:spacing w:val="5"/>
          <w:shd w:val="clear" w:color="auto" w:fill="FFFFFF"/>
        </w:rPr>
        <w:t>Epub</w:t>
      </w:r>
      <w:proofErr w:type="spellEnd"/>
      <w:r w:rsidR="00944DC1" w:rsidRPr="005C2CEC">
        <w:rPr>
          <w:rFonts w:asciiTheme="minorBidi" w:hAnsiTheme="minorBidi"/>
          <w:spacing w:val="5"/>
          <w:shd w:val="clear" w:color="auto" w:fill="FFFFFF"/>
        </w:rPr>
        <w:t xml:space="preserve"> ahead of print]</w:t>
      </w:r>
    </w:p>
    <w:p w14:paraId="5869826F" w14:textId="77777777" w:rsidR="00BF5EDB" w:rsidRPr="005C2CEC" w:rsidRDefault="00BF5EDB" w:rsidP="005C2CEC">
      <w:pPr>
        <w:rPr>
          <w:rFonts w:asciiTheme="minorBidi" w:hAnsiTheme="minorBidi"/>
        </w:rPr>
      </w:pPr>
    </w:p>
    <w:p w14:paraId="46D0A598" w14:textId="4306B5E3" w:rsidR="00944DC1" w:rsidRPr="005C2CEC" w:rsidRDefault="00AC011F" w:rsidP="005C2CEC">
      <w:pPr>
        <w:rPr>
          <w:rFonts w:asciiTheme="minorBidi" w:eastAsia="Times New Roman" w:hAnsiTheme="minorBidi"/>
        </w:rPr>
      </w:pPr>
      <w:r w:rsidRPr="005C2CEC">
        <w:rPr>
          <w:rFonts w:asciiTheme="minorBidi" w:eastAsia="Times New Roman" w:hAnsiTheme="minorBidi"/>
          <w:b/>
          <w:bCs/>
          <w:color w:val="000000" w:themeColor="text1"/>
        </w:rPr>
        <w:t>Takeaway</w:t>
      </w:r>
      <w:r w:rsidRPr="005C2CEC">
        <w:rPr>
          <w:rFonts w:asciiTheme="minorBidi" w:eastAsia="Times New Roman" w:hAnsiTheme="minorBidi"/>
          <w:color w:val="000000" w:themeColor="text1"/>
        </w:rPr>
        <w:t xml:space="preserve"> – </w:t>
      </w:r>
      <w:r w:rsidR="00B96C87" w:rsidRPr="005C2CEC">
        <w:rPr>
          <w:rFonts w:asciiTheme="minorBidi" w:eastAsia="Times New Roman" w:hAnsiTheme="minorBidi"/>
          <w:color w:val="000000" w:themeColor="text1"/>
        </w:rPr>
        <w:t xml:space="preserve">This </w:t>
      </w:r>
      <w:r w:rsidR="00944DC1" w:rsidRPr="005C2CEC">
        <w:rPr>
          <w:rFonts w:asciiTheme="minorBidi" w:eastAsia="Times New Roman" w:hAnsiTheme="minorBidi"/>
          <w:color w:val="000000" w:themeColor="text1"/>
        </w:rPr>
        <w:t>RCT included patients &gt; 18 years of age undergoing intubation</w:t>
      </w:r>
      <w:r w:rsidR="00122C22">
        <w:rPr>
          <w:rFonts w:asciiTheme="minorBidi" w:eastAsia="Times New Roman" w:hAnsiTheme="minorBidi"/>
          <w:color w:val="000000" w:themeColor="text1"/>
        </w:rPr>
        <w:t xml:space="preserve"> in the ICU or ED setting</w:t>
      </w:r>
      <w:r w:rsidR="00944DC1" w:rsidRPr="005C2CEC">
        <w:rPr>
          <w:rFonts w:asciiTheme="minorBidi" w:eastAsia="Times New Roman" w:hAnsiTheme="minorBidi"/>
          <w:color w:val="000000" w:themeColor="text1"/>
        </w:rPr>
        <w:t xml:space="preserve">. Patients were randomized to receive 500 mL fluid bolus just prior to and during intubation versus no bolus. There was no difference between the groups in the primary </w:t>
      </w:r>
      <w:r w:rsidR="00944DC1" w:rsidRPr="005C2CEC">
        <w:rPr>
          <w:rFonts w:asciiTheme="minorBidi" w:eastAsia="Times New Roman" w:hAnsiTheme="minorBidi"/>
          <w:spacing w:val="5"/>
          <w:shd w:val="clear" w:color="auto" w:fill="FFFFFF"/>
        </w:rPr>
        <w:t xml:space="preserve">composite outcome of CV collapse (hypotension - SBP ≤65, new or increased vasopressor within 2 minutes of intubation, or </w:t>
      </w:r>
      <w:r w:rsidR="00122C22">
        <w:rPr>
          <w:rFonts w:asciiTheme="minorBidi" w:eastAsia="Times New Roman" w:hAnsiTheme="minorBidi"/>
          <w:spacing w:val="5"/>
          <w:shd w:val="clear" w:color="auto" w:fill="FFFFFF"/>
        </w:rPr>
        <w:t xml:space="preserve">cardiac </w:t>
      </w:r>
      <w:r w:rsidR="00944DC1" w:rsidRPr="005C2CEC">
        <w:rPr>
          <w:rFonts w:asciiTheme="minorBidi" w:eastAsia="Times New Roman" w:hAnsiTheme="minorBidi"/>
          <w:spacing w:val="5"/>
          <w:shd w:val="clear" w:color="auto" w:fill="FFFFFF"/>
        </w:rPr>
        <w:t>arrest/death within an hour of intubation). There was no difference in adverse events. There are many issues with this study, and keep in mind that when it comes to fluid, one size does not fit all.</w:t>
      </w:r>
      <w:bookmarkStart w:id="0" w:name="_GoBack"/>
      <w:bookmarkEnd w:id="0"/>
    </w:p>
    <w:p w14:paraId="38BAB93C" w14:textId="4D8ECFD2" w:rsidR="00AC011F" w:rsidRPr="005C2CEC" w:rsidRDefault="00AC011F" w:rsidP="005C2CEC">
      <w:pPr>
        <w:rPr>
          <w:rFonts w:asciiTheme="minorBidi" w:eastAsia="Times New Roman" w:hAnsiTheme="minorBidi"/>
          <w:color w:val="000000" w:themeColor="text1"/>
        </w:rPr>
      </w:pPr>
    </w:p>
    <w:p w14:paraId="2947E8CD" w14:textId="12C2BA21" w:rsidR="00944DC1" w:rsidRPr="005C2CEC" w:rsidRDefault="00AC011F" w:rsidP="005C2CEC">
      <w:pPr>
        <w:rPr>
          <w:rFonts w:asciiTheme="minorBidi" w:hAnsiTheme="minorBidi"/>
          <w:color w:val="000000"/>
        </w:rPr>
      </w:pPr>
      <w:r w:rsidRPr="005C2CEC">
        <w:rPr>
          <w:rFonts w:asciiTheme="minorBidi" w:eastAsia="Times New Roman" w:hAnsiTheme="minorBidi"/>
          <w:b/>
          <w:bCs/>
          <w:color w:val="000000" w:themeColor="text1"/>
        </w:rPr>
        <w:t>Study 3</w:t>
      </w:r>
      <w:r w:rsidRPr="005C2CEC">
        <w:rPr>
          <w:rFonts w:asciiTheme="minorBidi" w:eastAsia="Times New Roman" w:hAnsiTheme="minorBidi"/>
          <w:color w:val="000000" w:themeColor="text1"/>
        </w:rPr>
        <w:t xml:space="preserve"> </w:t>
      </w:r>
      <w:r w:rsidR="00944DC1" w:rsidRPr="005C2CEC">
        <w:rPr>
          <w:rFonts w:asciiTheme="minorBidi" w:eastAsia="Times New Roman" w:hAnsiTheme="minorBidi"/>
          <w:color w:val="000000" w:themeColor="text1"/>
        </w:rPr>
        <w:t xml:space="preserve">- </w:t>
      </w:r>
      <w:r w:rsidR="00944DC1" w:rsidRPr="00DD0A17">
        <w:rPr>
          <w:rFonts w:asciiTheme="minorBidi" w:hAnsiTheme="minorBidi"/>
          <w:b/>
          <w:bCs/>
          <w:color w:val="000000"/>
        </w:rPr>
        <w:t>Risk of Major Complications After Perioperative Norepinephrine Infusion Through Peripheral Intravenous Lines in a Multicenter Study.</w:t>
      </w:r>
      <w:r w:rsidR="00944DC1" w:rsidRPr="005C2CEC">
        <w:rPr>
          <w:rFonts w:asciiTheme="minorBidi" w:eastAsia="Times New Roman" w:hAnsiTheme="minorBidi"/>
          <w:color w:val="000000" w:themeColor="text1"/>
        </w:rPr>
        <w:t xml:space="preserve"> </w:t>
      </w:r>
      <w:hyperlink r:id="rId5" w:tooltip="Anesthesia and analgesia." w:history="1">
        <w:proofErr w:type="spellStart"/>
        <w:r w:rsidR="00944DC1" w:rsidRPr="00DD0A17">
          <w:rPr>
            <w:rStyle w:val="Hyperlink"/>
            <w:rFonts w:asciiTheme="minorBidi" w:hAnsiTheme="minorBidi"/>
            <w:color w:val="000000" w:themeColor="text1"/>
            <w:u w:val="none"/>
          </w:rPr>
          <w:t>Anesth</w:t>
        </w:r>
        <w:proofErr w:type="spellEnd"/>
        <w:r w:rsidR="00944DC1" w:rsidRPr="00DD0A17">
          <w:rPr>
            <w:rStyle w:val="Hyperlink"/>
            <w:rFonts w:asciiTheme="minorBidi" w:hAnsiTheme="minorBidi"/>
            <w:color w:val="000000" w:themeColor="text1"/>
            <w:u w:val="none"/>
          </w:rPr>
          <w:t xml:space="preserve"> </w:t>
        </w:r>
        <w:proofErr w:type="spellStart"/>
        <w:r w:rsidR="00944DC1" w:rsidRPr="00DD0A17">
          <w:rPr>
            <w:rStyle w:val="Hyperlink"/>
            <w:rFonts w:asciiTheme="minorBidi" w:hAnsiTheme="minorBidi"/>
            <w:color w:val="000000" w:themeColor="text1"/>
            <w:u w:val="none"/>
          </w:rPr>
          <w:t>Analg</w:t>
        </w:r>
        <w:proofErr w:type="spellEnd"/>
        <w:r w:rsidR="00944DC1" w:rsidRPr="00DD0A17">
          <w:rPr>
            <w:rStyle w:val="Hyperlink"/>
            <w:rFonts w:asciiTheme="minorBidi" w:hAnsiTheme="minorBidi"/>
            <w:color w:val="000000" w:themeColor="text1"/>
            <w:u w:val="none"/>
          </w:rPr>
          <w:t>.</w:t>
        </w:r>
      </w:hyperlink>
      <w:r w:rsidR="00944DC1" w:rsidRPr="00DD0A17">
        <w:rPr>
          <w:rStyle w:val="apple-converted-space"/>
          <w:rFonts w:asciiTheme="minorBidi" w:hAnsiTheme="minorBidi"/>
          <w:color w:val="000000" w:themeColor="text1"/>
        </w:rPr>
        <w:t> </w:t>
      </w:r>
      <w:r w:rsidR="00944DC1" w:rsidRPr="00DD0A17">
        <w:rPr>
          <w:rFonts w:asciiTheme="minorBidi" w:hAnsiTheme="minorBidi"/>
          <w:color w:val="000000" w:themeColor="text1"/>
        </w:rPr>
        <w:t xml:space="preserve">2019 Sep 27. </w:t>
      </w:r>
      <w:proofErr w:type="spellStart"/>
      <w:r w:rsidR="00944DC1" w:rsidRPr="00DD0A17">
        <w:rPr>
          <w:rFonts w:asciiTheme="minorBidi" w:hAnsiTheme="minorBidi"/>
          <w:color w:val="000000" w:themeColor="text1"/>
        </w:rPr>
        <w:t>doi</w:t>
      </w:r>
      <w:proofErr w:type="spellEnd"/>
      <w:r w:rsidR="00944DC1" w:rsidRPr="00DD0A17">
        <w:rPr>
          <w:rFonts w:asciiTheme="minorBidi" w:hAnsiTheme="minorBidi"/>
          <w:color w:val="000000" w:themeColor="text1"/>
        </w:rPr>
        <w:t>: 10.1213/ANE.0000000000004445. [</w:t>
      </w:r>
      <w:proofErr w:type="spellStart"/>
      <w:r w:rsidR="00944DC1" w:rsidRPr="00DD0A17">
        <w:rPr>
          <w:rFonts w:asciiTheme="minorBidi" w:hAnsiTheme="minorBidi"/>
          <w:color w:val="000000" w:themeColor="text1"/>
        </w:rPr>
        <w:t>Epub</w:t>
      </w:r>
      <w:proofErr w:type="spellEnd"/>
      <w:r w:rsidR="00944DC1" w:rsidRPr="00DD0A17">
        <w:rPr>
          <w:rFonts w:asciiTheme="minorBidi" w:hAnsiTheme="minorBidi"/>
          <w:color w:val="000000" w:themeColor="text1"/>
        </w:rPr>
        <w:t xml:space="preserve"> ahead of </w:t>
      </w:r>
      <w:r w:rsidR="00944DC1" w:rsidRPr="005C2CEC">
        <w:rPr>
          <w:rFonts w:asciiTheme="minorBidi" w:hAnsiTheme="minorBidi"/>
          <w:color w:val="000000"/>
        </w:rPr>
        <w:t>print]</w:t>
      </w:r>
    </w:p>
    <w:p w14:paraId="7F9782D7" w14:textId="0CC0A57E" w:rsidR="008E2418" w:rsidRPr="005C2CEC" w:rsidRDefault="008E2418" w:rsidP="005C2CEC">
      <w:pPr>
        <w:rPr>
          <w:rFonts w:asciiTheme="minorBidi" w:eastAsia="Times New Roman" w:hAnsiTheme="minorBidi"/>
          <w:color w:val="000000" w:themeColor="text1"/>
          <w:shd w:val="clear" w:color="auto" w:fill="FFFFFF"/>
        </w:rPr>
      </w:pPr>
    </w:p>
    <w:p w14:paraId="4E73EF70" w14:textId="34D673B7" w:rsidR="00AC011F" w:rsidRPr="005C2CEC" w:rsidRDefault="00AC011F" w:rsidP="005C2CEC">
      <w:pPr>
        <w:rPr>
          <w:rFonts w:asciiTheme="minorBidi" w:eastAsia="Times New Roman" w:hAnsiTheme="minorBidi"/>
        </w:rPr>
      </w:pPr>
      <w:r w:rsidRPr="005C2CEC">
        <w:rPr>
          <w:rFonts w:asciiTheme="minorBidi" w:eastAsia="Times New Roman" w:hAnsiTheme="minorBidi"/>
          <w:b/>
          <w:bCs/>
          <w:color w:val="000000" w:themeColor="text1"/>
          <w:shd w:val="clear" w:color="auto" w:fill="FFFFFF"/>
        </w:rPr>
        <w:t>Takeaway</w:t>
      </w:r>
      <w:r w:rsidRPr="005C2CEC">
        <w:rPr>
          <w:rFonts w:asciiTheme="minorBidi" w:eastAsia="Times New Roman" w:hAnsiTheme="minorBidi"/>
          <w:color w:val="000000" w:themeColor="text1"/>
          <w:shd w:val="clear" w:color="auto" w:fill="FFFFFF"/>
        </w:rPr>
        <w:t xml:space="preserve"> – </w:t>
      </w:r>
      <w:r w:rsidR="00944DC1" w:rsidRPr="005C2CEC">
        <w:rPr>
          <w:rFonts w:asciiTheme="minorBidi" w:eastAsia="Times New Roman" w:hAnsiTheme="minorBidi"/>
          <w:color w:val="000000" w:themeColor="text1"/>
          <w:shd w:val="clear" w:color="auto" w:fill="FFFFFF"/>
        </w:rPr>
        <w:t xml:space="preserve">This retrospective cohort study evaluated peripheral norepinephrine during elective surgery in patients &gt; 18 years of age, with primary outcome adverse drug events, including extravasation. </w:t>
      </w:r>
      <w:r w:rsidR="00944DC1" w:rsidRPr="005C2CEC">
        <w:rPr>
          <w:rFonts w:asciiTheme="minorBidi" w:eastAsia="Times New Roman" w:hAnsiTheme="minorBidi"/>
          <w:color w:val="000000"/>
          <w:shd w:val="clear" w:color="auto" w:fill="FFFFFF"/>
        </w:rPr>
        <w:t xml:space="preserve">14,385 patients </w:t>
      </w:r>
      <w:r w:rsidR="00122C22">
        <w:rPr>
          <w:rFonts w:asciiTheme="minorBidi" w:eastAsia="Times New Roman" w:hAnsiTheme="minorBidi"/>
          <w:color w:val="000000"/>
          <w:shd w:val="clear" w:color="auto" w:fill="FFFFFF"/>
        </w:rPr>
        <w:t>who received</w:t>
      </w:r>
      <w:r w:rsidR="00944DC1" w:rsidRPr="005C2CEC">
        <w:rPr>
          <w:rFonts w:asciiTheme="minorBidi" w:eastAsia="Times New Roman" w:hAnsiTheme="minorBidi"/>
          <w:color w:val="000000"/>
          <w:shd w:val="clear" w:color="auto" w:fill="FFFFFF"/>
        </w:rPr>
        <w:t xml:space="preserve"> norepinephrine</w:t>
      </w:r>
      <w:r w:rsidR="00122C22">
        <w:rPr>
          <w:rFonts w:asciiTheme="minorBidi" w:eastAsia="Times New Roman" w:hAnsiTheme="minorBidi"/>
          <w:color w:val="000000"/>
          <w:shd w:val="clear" w:color="auto" w:fill="FFFFFF"/>
        </w:rPr>
        <w:t xml:space="preserve"> in the OR were included</w:t>
      </w:r>
      <w:r w:rsidR="00944DC1" w:rsidRPr="005C2CEC">
        <w:rPr>
          <w:rFonts w:asciiTheme="minorBidi" w:eastAsia="Times New Roman" w:hAnsiTheme="minorBidi"/>
          <w:color w:val="000000"/>
          <w:shd w:val="clear" w:color="auto" w:fill="FFFFFF"/>
        </w:rPr>
        <w:t>. Drug extravasation occurred in 5 patients (5/14,385 = 0.035%). The 95% confidence interval (CI) for infusion extravasation was 0.011%-0.081%, indicating an estimated risk of 1-8 events per every 10,000 patients.</w:t>
      </w:r>
      <w:r w:rsidR="00122C22">
        <w:rPr>
          <w:rFonts w:asciiTheme="minorBidi" w:eastAsia="Times New Roman" w:hAnsiTheme="minorBidi"/>
          <w:color w:val="000000"/>
          <w:shd w:val="clear" w:color="auto" w:fill="FFFFFF"/>
        </w:rPr>
        <w:t xml:space="preserve"> Most IV’s were placed in the antecubital fossa, 18 G, and left in place for &lt; 20 minutes. If using peripheral </w:t>
      </w:r>
      <w:proofErr w:type="spellStart"/>
      <w:r w:rsidR="00122C22">
        <w:rPr>
          <w:rFonts w:asciiTheme="minorBidi" w:eastAsia="Times New Roman" w:hAnsiTheme="minorBidi"/>
          <w:color w:val="000000"/>
          <w:shd w:val="clear" w:color="auto" w:fill="FFFFFF"/>
        </w:rPr>
        <w:t>pressors</w:t>
      </w:r>
      <w:proofErr w:type="spellEnd"/>
      <w:r w:rsidR="00122C22">
        <w:rPr>
          <w:rFonts w:asciiTheme="minorBidi" w:eastAsia="Times New Roman" w:hAnsiTheme="minorBidi"/>
          <w:color w:val="000000"/>
          <w:shd w:val="clear" w:color="auto" w:fill="FFFFFF"/>
        </w:rPr>
        <w:t xml:space="preserve">, use a well-placed, proximal IV and monitor the IV site. </w:t>
      </w:r>
    </w:p>
    <w:p w14:paraId="6E4ADB93" w14:textId="508D8B30" w:rsidR="00AC011F" w:rsidRPr="005C2CEC" w:rsidRDefault="00AC011F" w:rsidP="005C2CEC">
      <w:pPr>
        <w:rPr>
          <w:rFonts w:asciiTheme="minorBidi" w:eastAsia="Times New Roman" w:hAnsiTheme="minorBidi"/>
          <w:color w:val="000000" w:themeColor="text1"/>
          <w:shd w:val="clear" w:color="auto" w:fill="FFFFFF"/>
        </w:rPr>
      </w:pPr>
    </w:p>
    <w:p w14:paraId="649AC705" w14:textId="6A1BF6C9" w:rsidR="00AC011F" w:rsidRPr="005C2CEC" w:rsidRDefault="00AC011F" w:rsidP="005C2CEC">
      <w:pPr>
        <w:rPr>
          <w:rFonts w:asciiTheme="minorBidi" w:hAnsiTheme="minorBidi"/>
        </w:rPr>
      </w:pPr>
      <w:r w:rsidRPr="005C2CEC">
        <w:rPr>
          <w:rFonts w:asciiTheme="minorBidi" w:eastAsia="Times New Roman" w:hAnsiTheme="minorBidi"/>
          <w:b/>
          <w:bCs/>
          <w:color w:val="000000" w:themeColor="text1"/>
          <w:shd w:val="clear" w:color="auto" w:fill="FFFFFF"/>
        </w:rPr>
        <w:t>Study 4</w:t>
      </w:r>
      <w:r w:rsidRPr="005C2CEC">
        <w:rPr>
          <w:rFonts w:asciiTheme="minorBidi" w:eastAsia="Times New Roman" w:hAnsiTheme="minorBidi"/>
          <w:color w:val="000000" w:themeColor="text1"/>
          <w:shd w:val="clear" w:color="auto" w:fill="FFFFFF"/>
        </w:rPr>
        <w:t xml:space="preserve"> - </w:t>
      </w:r>
      <w:r w:rsidR="00944DC1" w:rsidRPr="005C2CEC">
        <w:rPr>
          <w:rFonts w:asciiTheme="minorBidi" w:hAnsiTheme="minorBidi"/>
          <w:b/>
          <w:bCs/>
          <w:color w:val="000000"/>
        </w:rPr>
        <w:t xml:space="preserve">Clinical Policy: Critical Issues in the Evaluation and Management of Adult Patients Presenting to the Emergency Department </w:t>
      </w:r>
      <w:proofErr w:type="gramStart"/>
      <w:r w:rsidR="00944DC1" w:rsidRPr="005C2CEC">
        <w:rPr>
          <w:rFonts w:asciiTheme="minorBidi" w:hAnsiTheme="minorBidi"/>
          <w:b/>
          <w:bCs/>
          <w:color w:val="000000"/>
        </w:rPr>
        <w:t>With</w:t>
      </w:r>
      <w:proofErr w:type="gramEnd"/>
      <w:r w:rsidR="00944DC1" w:rsidRPr="005C2CEC">
        <w:rPr>
          <w:rFonts w:asciiTheme="minorBidi" w:hAnsiTheme="minorBidi"/>
          <w:b/>
          <w:bCs/>
          <w:color w:val="000000"/>
        </w:rPr>
        <w:t xml:space="preserve"> Acute Headache: Approved by the ACEP Board of Directors June 26, 2019 Clinical Policy Endorsed </w:t>
      </w:r>
      <w:r w:rsidR="00944DC1" w:rsidRPr="005C2CEC">
        <w:rPr>
          <w:rFonts w:asciiTheme="minorBidi" w:hAnsiTheme="minorBidi"/>
          <w:b/>
          <w:bCs/>
          <w:color w:val="000000"/>
        </w:rPr>
        <w:lastRenderedPageBreak/>
        <w:t>by the Emergency Nurses Association (July 31, 2019</w:t>
      </w:r>
      <w:r w:rsidR="00944DC1" w:rsidRPr="008629B8">
        <w:rPr>
          <w:rFonts w:asciiTheme="minorBidi" w:hAnsiTheme="minorBidi"/>
          <w:color w:val="000000" w:themeColor="text1"/>
        </w:rPr>
        <w:t xml:space="preserve">). </w:t>
      </w:r>
      <w:hyperlink r:id="rId6" w:tooltip="Annals of emergency medicine." w:history="1">
        <w:r w:rsidR="00944DC1" w:rsidRPr="008629B8">
          <w:rPr>
            <w:rStyle w:val="Hyperlink"/>
            <w:rFonts w:asciiTheme="minorBidi" w:hAnsiTheme="minorBidi"/>
            <w:color w:val="000000" w:themeColor="text1"/>
            <w:u w:val="none"/>
          </w:rPr>
          <w:t xml:space="preserve">Ann </w:t>
        </w:r>
        <w:proofErr w:type="spellStart"/>
        <w:r w:rsidR="00944DC1" w:rsidRPr="008629B8">
          <w:rPr>
            <w:rStyle w:val="Hyperlink"/>
            <w:rFonts w:asciiTheme="minorBidi" w:hAnsiTheme="minorBidi"/>
            <w:color w:val="000000" w:themeColor="text1"/>
            <w:u w:val="none"/>
          </w:rPr>
          <w:t>Emerg</w:t>
        </w:r>
        <w:proofErr w:type="spellEnd"/>
        <w:r w:rsidR="00944DC1" w:rsidRPr="008629B8">
          <w:rPr>
            <w:rStyle w:val="Hyperlink"/>
            <w:rFonts w:asciiTheme="minorBidi" w:hAnsiTheme="minorBidi"/>
            <w:color w:val="000000" w:themeColor="text1"/>
            <w:u w:val="none"/>
          </w:rPr>
          <w:t xml:space="preserve"> Med.</w:t>
        </w:r>
      </w:hyperlink>
      <w:r w:rsidR="00944DC1" w:rsidRPr="005C2CEC">
        <w:rPr>
          <w:rStyle w:val="apple-converted-space"/>
          <w:rFonts w:asciiTheme="minorBidi" w:hAnsiTheme="minorBidi"/>
          <w:color w:val="000000"/>
          <w:shd w:val="clear" w:color="auto" w:fill="FFFFFF"/>
        </w:rPr>
        <w:t> </w:t>
      </w:r>
      <w:r w:rsidR="00944DC1" w:rsidRPr="005C2CEC">
        <w:rPr>
          <w:rFonts w:asciiTheme="minorBidi" w:hAnsiTheme="minorBidi"/>
          <w:color w:val="000000"/>
          <w:shd w:val="clear" w:color="auto" w:fill="FFFFFF"/>
        </w:rPr>
        <w:t xml:space="preserve">2019 Oct;74(4):e41-e74. </w:t>
      </w:r>
      <w:proofErr w:type="spellStart"/>
      <w:r w:rsidR="00944DC1" w:rsidRPr="005C2CEC">
        <w:rPr>
          <w:rFonts w:asciiTheme="minorBidi" w:hAnsiTheme="minorBidi"/>
          <w:color w:val="000000"/>
          <w:shd w:val="clear" w:color="auto" w:fill="FFFFFF"/>
        </w:rPr>
        <w:t>doi</w:t>
      </w:r>
      <w:proofErr w:type="spellEnd"/>
      <w:r w:rsidR="00944DC1" w:rsidRPr="005C2CEC">
        <w:rPr>
          <w:rFonts w:asciiTheme="minorBidi" w:hAnsiTheme="minorBidi"/>
          <w:color w:val="000000"/>
          <w:shd w:val="clear" w:color="auto" w:fill="FFFFFF"/>
        </w:rPr>
        <w:t>: 10.1016/j.annemergmed.2019.07.009.</w:t>
      </w:r>
    </w:p>
    <w:p w14:paraId="08E88543" w14:textId="77777777" w:rsidR="00631D8F" w:rsidRPr="005C2CEC" w:rsidRDefault="00631D8F" w:rsidP="005C2CEC">
      <w:pPr>
        <w:rPr>
          <w:rFonts w:asciiTheme="minorBidi" w:eastAsia="Times New Roman" w:hAnsiTheme="minorBidi"/>
          <w:b/>
          <w:bCs/>
          <w:color w:val="000000" w:themeColor="text1"/>
          <w:shd w:val="clear" w:color="auto" w:fill="FFFFFF"/>
        </w:rPr>
      </w:pPr>
    </w:p>
    <w:p w14:paraId="23CFDB67" w14:textId="5D5C375B" w:rsidR="00AC011F" w:rsidRPr="005C2CEC" w:rsidRDefault="00AC011F" w:rsidP="005C2CEC">
      <w:pPr>
        <w:rPr>
          <w:rFonts w:asciiTheme="minorBidi" w:eastAsia="Times New Roman" w:hAnsiTheme="minorBidi"/>
          <w:color w:val="000000" w:themeColor="text1"/>
          <w:shd w:val="clear" w:color="auto" w:fill="FFFFFF"/>
        </w:rPr>
      </w:pPr>
      <w:r w:rsidRPr="005C2CEC">
        <w:rPr>
          <w:rFonts w:asciiTheme="minorBidi" w:eastAsia="Times New Roman" w:hAnsiTheme="minorBidi"/>
          <w:b/>
          <w:bCs/>
          <w:color w:val="000000" w:themeColor="text1"/>
          <w:shd w:val="clear" w:color="auto" w:fill="FFFFFF"/>
        </w:rPr>
        <w:t>Takeaway</w:t>
      </w:r>
      <w:r w:rsidRPr="005C2CEC">
        <w:rPr>
          <w:rFonts w:asciiTheme="minorBidi" w:eastAsia="Times New Roman" w:hAnsiTheme="minorBidi"/>
          <w:color w:val="000000" w:themeColor="text1"/>
          <w:shd w:val="clear" w:color="auto" w:fill="FFFFFF"/>
        </w:rPr>
        <w:t xml:space="preserve"> –</w:t>
      </w:r>
    </w:p>
    <w:p w14:paraId="461DFDDB" w14:textId="77777777" w:rsidR="00944DC1" w:rsidRPr="005C2CEC" w:rsidRDefault="00944DC1"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1. In the adult ED patient presenting with acute headache, are there risk-stratification strategies that reliably identify the need for emergent neuroimaging?</w:t>
      </w:r>
    </w:p>
    <w:p w14:paraId="07A095C0" w14:textId="77777777" w:rsidR="00944DC1" w:rsidRPr="005C2CEC" w:rsidRDefault="00944DC1" w:rsidP="005C2CEC">
      <w:pPr>
        <w:spacing w:before="100" w:beforeAutospacing="1" w:after="100" w:afterAutospacing="1"/>
        <w:rPr>
          <w:rFonts w:asciiTheme="minorBidi" w:hAnsiTheme="minorBidi"/>
          <w:spacing w:val="5"/>
        </w:rPr>
      </w:pPr>
      <w:r w:rsidRPr="005C2CEC">
        <w:rPr>
          <w:rFonts w:asciiTheme="minorBidi" w:hAnsiTheme="minorBidi"/>
          <w:spacing w:val="5"/>
        </w:rPr>
        <w:t xml:space="preserve">The </w:t>
      </w:r>
      <w:hyperlink r:id="rId7" w:tgtFrame="_blank" w:history="1">
        <w:r w:rsidRPr="005C2CEC">
          <w:rPr>
            <w:rStyle w:val="Hyperlink"/>
            <w:rFonts w:asciiTheme="minorBidi" w:hAnsiTheme="minorBidi"/>
            <w:color w:val="1177B6"/>
            <w:spacing w:val="5"/>
          </w:rPr>
          <w:t>Ottawa Subarachnoid Hemorrhage Rule</w:t>
        </w:r>
      </w:hyperlink>
      <w:r w:rsidRPr="005C2CEC">
        <w:rPr>
          <w:rFonts w:asciiTheme="minorBidi" w:hAnsiTheme="minorBidi"/>
          <w:spacing w:val="5"/>
        </w:rPr>
        <w:t xml:space="preserve"> is the only risk stratification tool that has been validated and identifies the need for neuroimaging in acute headache. It has a high sensitivity but lacks specificity for SAH.</w:t>
      </w:r>
    </w:p>
    <w:p w14:paraId="5F3C5115" w14:textId="22220FB8" w:rsidR="00944DC1" w:rsidRPr="005C2CEC" w:rsidRDefault="00944DC1" w:rsidP="005C2CEC">
      <w:pPr>
        <w:spacing w:before="100" w:beforeAutospacing="1" w:after="100" w:afterAutospacing="1"/>
        <w:rPr>
          <w:rFonts w:asciiTheme="minorBidi" w:hAnsiTheme="minorBidi"/>
          <w:spacing w:val="5"/>
        </w:rPr>
      </w:pPr>
      <w:r w:rsidRPr="005C2CEC">
        <w:rPr>
          <w:rFonts w:asciiTheme="minorBidi" w:hAnsiTheme="minorBidi"/>
          <w:spacing w:val="5"/>
        </w:rPr>
        <w:t xml:space="preserve">Patients with a normal neurologic examination and peak headache intensity within 1 hour of pain onset require investigation if one or more of the following is present: Symptoms of neck pain or stiffness, Age ≥40 years old, Witnessed loss of consciousness, Onset during exertion, Thunderclap headache (peak intensity immediately), Limited neck flexion on exam. </w:t>
      </w:r>
      <w:r w:rsidRPr="005C2CEC">
        <w:rPr>
          <w:rStyle w:val="Emphasis"/>
          <w:rFonts w:asciiTheme="minorBidi" w:hAnsiTheme="minorBidi"/>
          <w:spacing w:val="5"/>
        </w:rPr>
        <w:t>Level B recommendation</w:t>
      </w:r>
      <w:r w:rsidR="00122C22">
        <w:rPr>
          <w:rStyle w:val="Emphasis"/>
          <w:rFonts w:asciiTheme="minorBidi" w:hAnsiTheme="minorBidi"/>
          <w:spacing w:val="5"/>
        </w:rPr>
        <w:t>.</w:t>
      </w:r>
    </w:p>
    <w:p w14:paraId="27FF7AC8" w14:textId="77777777" w:rsidR="00944DC1" w:rsidRPr="005C2CEC" w:rsidRDefault="00944DC1"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2. In the adult ED patient treated for acute primary headache, are nonopioids preferred to opioid medications?</w:t>
      </w:r>
    </w:p>
    <w:p w14:paraId="0F161091" w14:textId="1EB45E74" w:rsidR="00944DC1" w:rsidRPr="005C2CEC" w:rsidRDefault="00944DC1" w:rsidP="005C2CEC">
      <w:pPr>
        <w:spacing w:before="100" w:beforeAutospacing="1" w:after="100" w:afterAutospacing="1"/>
        <w:rPr>
          <w:rFonts w:asciiTheme="minorBidi" w:hAnsiTheme="minorBidi"/>
          <w:spacing w:val="5"/>
        </w:rPr>
      </w:pPr>
      <w:r w:rsidRPr="005C2CEC">
        <w:rPr>
          <w:rFonts w:asciiTheme="minorBidi" w:hAnsiTheme="minorBidi"/>
          <w:spacing w:val="5"/>
        </w:rPr>
        <w:t xml:space="preserve">Nonopioid medications are strongly preferred for treatment of acute primary headaches in the ED patients. </w:t>
      </w:r>
      <w:r w:rsidRPr="005C2CEC">
        <w:rPr>
          <w:rStyle w:val="Emphasis"/>
          <w:rFonts w:asciiTheme="minorBidi" w:hAnsiTheme="minorBidi"/>
          <w:spacing w:val="5"/>
        </w:rPr>
        <w:t>Level A recommendation.</w:t>
      </w:r>
    </w:p>
    <w:p w14:paraId="5C865035" w14:textId="77777777" w:rsidR="00944DC1" w:rsidRPr="005C2CEC" w:rsidRDefault="00944DC1"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 xml:space="preserve"> 3. In the adult ED patient presenting with acute headache, does a normal </w:t>
      </w:r>
      <w:proofErr w:type="spellStart"/>
      <w:r w:rsidRPr="005C2CEC">
        <w:rPr>
          <w:rStyle w:val="Emphasis"/>
          <w:rFonts w:asciiTheme="minorBidi" w:hAnsiTheme="minorBidi"/>
          <w:spacing w:val="5"/>
        </w:rPr>
        <w:t>noncontrast</w:t>
      </w:r>
      <w:proofErr w:type="spellEnd"/>
      <w:r w:rsidRPr="005C2CEC">
        <w:rPr>
          <w:rStyle w:val="Emphasis"/>
          <w:rFonts w:asciiTheme="minorBidi" w:hAnsiTheme="minorBidi"/>
          <w:spacing w:val="5"/>
        </w:rPr>
        <w:t xml:space="preserve"> head CT scan performed within 6 hours of headache onset preclude the need for further diagnostic workup for SAH?</w:t>
      </w:r>
    </w:p>
    <w:p w14:paraId="27BFF0AD" w14:textId="2F06856E" w:rsidR="00944DC1" w:rsidRPr="005C2CEC" w:rsidRDefault="00944DC1" w:rsidP="005C2CEC">
      <w:pPr>
        <w:spacing w:before="100" w:beforeAutospacing="1" w:after="100" w:afterAutospacing="1"/>
        <w:rPr>
          <w:rFonts w:asciiTheme="minorBidi" w:hAnsiTheme="minorBidi"/>
          <w:spacing w:val="5"/>
        </w:rPr>
      </w:pPr>
      <w:r w:rsidRPr="005C2CEC">
        <w:rPr>
          <w:rFonts w:asciiTheme="minorBidi" w:hAnsiTheme="minorBidi"/>
          <w:spacing w:val="5"/>
        </w:rPr>
        <w:t xml:space="preserve">A normal </w:t>
      </w:r>
      <w:proofErr w:type="spellStart"/>
      <w:r w:rsidRPr="005C2CEC">
        <w:rPr>
          <w:rFonts w:asciiTheme="minorBidi" w:hAnsiTheme="minorBidi"/>
          <w:spacing w:val="5"/>
        </w:rPr>
        <w:t>noncontrast</w:t>
      </w:r>
      <w:proofErr w:type="spellEnd"/>
      <w:r w:rsidRPr="005C2CEC">
        <w:rPr>
          <w:rFonts w:asciiTheme="minorBidi" w:hAnsiTheme="minorBidi"/>
          <w:spacing w:val="5"/>
        </w:rPr>
        <w:t xml:space="preserve"> head CT performed within 6 hours of symptom onset in an ED headache patient with a normal neurologic exam can be used to rule out a nontraumatic SAH without performing an LP. </w:t>
      </w:r>
      <w:r w:rsidRPr="005C2CEC">
        <w:rPr>
          <w:rStyle w:val="Emphasis"/>
          <w:rFonts w:asciiTheme="minorBidi" w:hAnsiTheme="minorBidi"/>
          <w:spacing w:val="5"/>
        </w:rPr>
        <w:t>Level B recommendation.</w:t>
      </w:r>
    </w:p>
    <w:p w14:paraId="0980D426" w14:textId="77777777" w:rsidR="00944DC1" w:rsidRPr="005C2CEC" w:rsidRDefault="00944DC1"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 xml:space="preserve">4. In the adult ED patient who is still considered to be at risk for SAH after a negative </w:t>
      </w:r>
      <w:proofErr w:type="spellStart"/>
      <w:r w:rsidRPr="005C2CEC">
        <w:rPr>
          <w:rStyle w:val="Emphasis"/>
          <w:rFonts w:asciiTheme="minorBidi" w:hAnsiTheme="minorBidi"/>
          <w:spacing w:val="5"/>
        </w:rPr>
        <w:t>noncontrast</w:t>
      </w:r>
      <w:proofErr w:type="spellEnd"/>
      <w:r w:rsidRPr="005C2CEC">
        <w:rPr>
          <w:rStyle w:val="Emphasis"/>
          <w:rFonts w:asciiTheme="minorBidi" w:hAnsiTheme="minorBidi"/>
          <w:spacing w:val="5"/>
        </w:rPr>
        <w:t xml:space="preserve"> head CT, is CTA of the head as effective as LP to safely rule out SAH?</w:t>
      </w:r>
    </w:p>
    <w:p w14:paraId="2E576B3B" w14:textId="77777777" w:rsidR="00944DC1" w:rsidRPr="005C2CEC" w:rsidRDefault="00944DC1" w:rsidP="005C2CEC">
      <w:pPr>
        <w:spacing w:before="100" w:beforeAutospacing="1" w:after="100" w:afterAutospacing="1"/>
        <w:rPr>
          <w:rFonts w:asciiTheme="minorBidi" w:hAnsiTheme="minorBidi"/>
          <w:spacing w:val="5"/>
        </w:rPr>
      </w:pPr>
      <w:r w:rsidRPr="005C2CEC">
        <w:rPr>
          <w:rFonts w:asciiTheme="minorBidi" w:hAnsiTheme="minorBidi"/>
          <w:spacing w:val="5"/>
        </w:rPr>
        <w:t xml:space="preserve">In patients considered to be at risk for SAH after negative </w:t>
      </w:r>
      <w:proofErr w:type="spellStart"/>
      <w:r w:rsidRPr="005C2CEC">
        <w:rPr>
          <w:rFonts w:asciiTheme="minorBidi" w:hAnsiTheme="minorBidi"/>
          <w:spacing w:val="5"/>
        </w:rPr>
        <w:t>noncontrast</w:t>
      </w:r>
      <w:proofErr w:type="spellEnd"/>
      <w:r w:rsidRPr="005C2CEC">
        <w:rPr>
          <w:rFonts w:asciiTheme="minorBidi" w:hAnsiTheme="minorBidi"/>
          <w:spacing w:val="5"/>
        </w:rPr>
        <w:t xml:space="preserve"> head CT, CTA is a reasonable alternative to LP for safely ruling out SAH. ACEP recommends using shared decision making to select the best diagnostic test with regard to pros and cons of CT/LP versus CT/CTA.</w:t>
      </w:r>
    </w:p>
    <w:p w14:paraId="1D2AEE6F" w14:textId="77777777" w:rsidR="00944DC1" w:rsidRPr="005C2CEC" w:rsidRDefault="00944DC1" w:rsidP="005C2CEC">
      <w:pPr>
        <w:pStyle w:val="ListParagraph"/>
        <w:numPr>
          <w:ilvl w:val="0"/>
          <w:numId w:val="7"/>
        </w:numPr>
        <w:spacing w:before="120" w:after="120"/>
        <w:rPr>
          <w:rFonts w:asciiTheme="minorBidi" w:hAnsiTheme="minorBidi" w:cstheme="minorBidi"/>
          <w:spacing w:val="5"/>
        </w:rPr>
      </w:pPr>
      <w:r w:rsidRPr="005C2CEC">
        <w:rPr>
          <w:rFonts w:asciiTheme="minorBidi" w:hAnsiTheme="minorBidi" w:cstheme="minorBidi"/>
          <w:spacing w:val="5"/>
        </w:rPr>
        <w:t>Lumbar puncture is a time-intensive procedure with a low diagnostic yield, a high rate of traumatic taps, high rate of uninterpretable test results, and a risk of post-LP headache.</w:t>
      </w:r>
    </w:p>
    <w:p w14:paraId="690F1F8F" w14:textId="7AEACF98" w:rsidR="00944DC1" w:rsidRPr="005C2CEC" w:rsidRDefault="00944DC1" w:rsidP="005C2CEC">
      <w:pPr>
        <w:pStyle w:val="ListParagraph"/>
        <w:numPr>
          <w:ilvl w:val="0"/>
          <w:numId w:val="7"/>
        </w:numPr>
        <w:spacing w:before="120" w:after="120"/>
        <w:rPr>
          <w:rFonts w:asciiTheme="minorBidi" w:hAnsiTheme="minorBidi" w:cstheme="minorBidi"/>
          <w:spacing w:val="5"/>
        </w:rPr>
      </w:pPr>
      <w:r w:rsidRPr="005C2CEC">
        <w:rPr>
          <w:rFonts w:asciiTheme="minorBidi" w:hAnsiTheme="minorBidi" w:cstheme="minorBidi"/>
          <w:spacing w:val="5"/>
        </w:rPr>
        <w:t xml:space="preserve">CTA avoids many of the negative aspects of performing an LP. However, it may identify incidental cerebral aneurysms leading to unnecessary invasive </w:t>
      </w:r>
      <w:r w:rsidRPr="005C2CEC">
        <w:rPr>
          <w:rFonts w:asciiTheme="minorBidi" w:hAnsiTheme="minorBidi" w:cstheme="minorBidi"/>
          <w:spacing w:val="5"/>
        </w:rPr>
        <w:lastRenderedPageBreak/>
        <w:t>procedures, is associated with a higher radiation dose, and risks missing an alternative diagnosis through LP.</w:t>
      </w:r>
    </w:p>
    <w:p w14:paraId="35C474D4" w14:textId="3FC24BF2" w:rsidR="00944DC1" w:rsidRPr="005C2CEC" w:rsidRDefault="00944DC1"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Level C recommendation.</w:t>
      </w:r>
    </w:p>
    <w:p w14:paraId="34273AA3" w14:textId="1BE84827" w:rsidR="00B9765B" w:rsidRPr="005C2CEC" w:rsidRDefault="00AC011F" w:rsidP="005C2CEC">
      <w:pPr>
        <w:rPr>
          <w:rFonts w:asciiTheme="minorBidi" w:hAnsiTheme="minorBidi"/>
        </w:rPr>
      </w:pPr>
      <w:r w:rsidRPr="005C2CEC">
        <w:rPr>
          <w:rFonts w:asciiTheme="minorBidi" w:hAnsiTheme="minorBidi"/>
          <w:b/>
          <w:bCs/>
          <w:color w:val="000000" w:themeColor="text1"/>
        </w:rPr>
        <w:t>Study 5</w:t>
      </w:r>
      <w:r w:rsidRPr="005C2CEC">
        <w:rPr>
          <w:rFonts w:asciiTheme="minorBidi" w:hAnsiTheme="minorBidi"/>
          <w:color w:val="000000" w:themeColor="text1"/>
        </w:rPr>
        <w:t xml:space="preserve"> - </w:t>
      </w:r>
      <w:r w:rsidR="00944DC1" w:rsidRPr="005C2CEC">
        <w:rPr>
          <w:rFonts w:asciiTheme="minorBidi" w:hAnsiTheme="minorBidi"/>
          <w:b/>
          <w:bCs/>
          <w:spacing w:val="5"/>
        </w:rPr>
        <w:t>Evaluation and management of cauda equina syndrome in the emergency department.</w:t>
      </w:r>
      <w:r w:rsidR="00944DC1" w:rsidRPr="005C2CEC">
        <w:rPr>
          <w:rFonts w:asciiTheme="minorBidi" w:hAnsiTheme="minorBidi"/>
          <w:spacing w:val="5"/>
          <w:shd w:val="clear" w:color="auto" w:fill="FFFFFF"/>
        </w:rPr>
        <w:t xml:space="preserve"> Am J </w:t>
      </w:r>
      <w:proofErr w:type="spellStart"/>
      <w:r w:rsidR="00944DC1" w:rsidRPr="005C2CEC">
        <w:rPr>
          <w:rFonts w:asciiTheme="minorBidi" w:hAnsiTheme="minorBidi"/>
          <w:spacing w:val="5"/>
          <w:shd w:val="clear" w:color="auto" w:fill="FFFFFF"/>
        </w:rPr>
        <w:t>Emerg</w:t>
      </w:r>
      <w:proofErr w:type="spellEnd"/>
      <w:r w:rsidR="00944DC1" w:rsidRPr="005C2CEC">
        <w:rPr>
          <w:rFonts w:asciiTheme="minorBidi" w:hAnsiTheme="minorBidi"/>
          <w:spacing w:val="5"/>
          <w:shd w:val="clear" w:color="auto" w:fill="FFFFFF"/>
        </w:rPr>
        <w:t xml:space="preserve"> Med. 2019 Aug 20:158402. </w:t>
      </w:r>
      <w:proofErr w:type="spellStart"/>
      <w:r w:rsidR="00944DC1" w:rsidRPr="005C2CEC">
        <w:rPr>
          <w:rFonts w:asciiTheme="minorBidi" w:hAnsiTheme="minorBidi"/>
          <w:spacing w:val="5"/>
          <w:shd w:val="clear" w:color="auto" w:fill="FFFFFF"/>
        </w:rPr>
        <w:t>doi</w:t>
      </w:r>
      <w:proofErr w:type="spellEnd"/>
      <w:r w:rsidR="00944DC1" w:rsidRPr="005C2CEC">
        <w:rPr>
          <w:rFonts w:asciiTheme="minorBidi" w:hAnsiTheme="minorBidi"/>
          <w:spacing w:val="5"/>
          <w:shd w:val="clear" w:color="auto" w:fill="FFFFFF"/>
        </w:rPr>
        <w:t>: 10.1016/j.ajem.2019.158402. [</w:t>
      </w:r>
      <w:proofErr w:type="spellStart"/>
      <w:r w:rsidR="00944DC1" w:rsidRPr="005C2CEC">
        <w:rPr>
          <w:rFonts w:asciiTheme="minorBidi" w:hAnsiTheme="minorBidi"/>
          <w:spacing w:val="5"/>
          <w:shd w:val="clear" w:color="auto" w:fill="FFFFFF"/>
        </w:rPr>
        <w:t>Epub</w:t>
      </w:r>
      <w:proofErr w:type="spellEnd"/>
      <w:r w:rsidR="00944DC1" w:rsidRPr="005C2CEC">
        <w:rPr>
          <w:rFonts w:asciiTheme="minorBidi" w:hAnsiTheme="minorBidi"/>
          <w:spacing w:val="5"/>
          <w:shd w:val="clear" w:color="auto" w:fill="FFFFFF"/>
        </w:rPr>
        <w:t xml:space="preserve"> ahead of print]</w:t>
      </w:r>
    </w:p>
    <w:p w14:paraId="03989026" w14:textId="77777777" w:rsidR="00944DC1" w:rsidRPr="005C2CEC" w:rsidRDefault="00B9765B" w:rsidP="005C2CEC">
      <w:pPr>
        <w:spacing w:before="100" w:beforeAutospacing="1" w:after="100" w:afterAutospacing="1"/>
        <w:rPr>
          <w:rFonts w:asciiTheme="minorBidi" w:eastAsia="Times New Roman" w:hAnsiTheme="minorBidi"/>
          <w:spacing w:val="5"/>
        </w:rPr>
      </w:pPr>
      <w:r w:rsidRPr="005C2CEC">
        <w:rPr>
          <w:rFonts w:asciiTheme="minorBidi" w:hAnsiTheme="minorBidi"/>
          <w:b/>
          <w:bCs/>
          <w:color w:val="000000" w:themeColor="text1"/>
        </w:rPr>
        <w:t>Takeaway</w:t>
      </w:r>
      <w:r w:rsidRPr="005C2CEC">
        <w:rPr>
          <w:rFonts w:asciiTheme="minorBidi" w:hAnsiTheme="minorBidi"/>
          <w:color w:val="000000" w:themeColor="text1"/>
        </w:rPr>
        <w:t xml:space="preserve"> – </w:t>
      </w:r>
      <w:r w:rsidR="00944DC1" w:rsidRPr="005C2CEC">
        <w:rPr>
          <w:rFonts w:asciiTheme="minorBidi" w:eastAsia="Times New Roman" w:hAnsiTheme="minorBidi"/>
          <w:spacing w:val="5"/>
        </w:rPr>
        <w:t>Cauda equina is a devastating disease that causes significant patient morbidity. It also requires significant resources to diagnose. This article is here to tell you that your history and physical exam findings may not be enough to rule this out, and you should be moving towards MRI when you are concerned.</w:t>
      </w:r>
    </w:p>
    <w:p w14:paraId="128C896F"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History and physical exam in isolation had poor sensitivity for the identification of cauda equina syndrome (CES).</w:t>
      </w:r>
    </w:p>
    <w:p w14:paraId="34811601"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Risk factors include: obesity, female gender, pre-existing spinal disease (e.g. spinal stenosis, thickened ligamentum flavum).</w:t>
      </w:r>
    </w:p>
    <w:p w14:paraId="5736046C"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One study found that 89% of patients with CES had acute worsening within the past 24h; however, it may present gradually over weeks as well.</w:t>
      </w:r>
    </w:p>
    <w:p w14:paraId="4E5477D4"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CES is most commonly caused by a large central disk herniation/prolapse at L4-5 or L5-S1.</w:t>
      </w:r>
    </w:p>
    <w:p w14:paraId="1985DCA1"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Exam findings consistent with CES included: bilateral sciatica, reduced perineal sensation, urinary retention, loss of anal tone, loss of sexual function, motor/sensory changes in lower extremities, and diminished patellar and Achilles reflexes.</w:t>
      </w:r>
    </w:p>
    <w:p w14:paraId="3F6DD372"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Post-void residual &gt; 500ml had OR of 4.0, which increased to 48.0 when combined with two of the three following symptoms: bilateral sciatica, subjective urinary retention, or rectal incontinence.</w:t>
      </w:r>
    </w:p>
    <w:p w14:paraId="735596C6"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The gold standard for diagnosis is MRI. CT myelography may be used when MRI is contraindicated.</w:t>
      </w:r>
    </w:p>
    <w:p w14:paraId="35862C61" w14:textId="77777777" w:rsidR="00944DC1" w:rsidRPr="00944DC1"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Management requires emergent neurosurgical evaluation.</w:t>
      </w:r>
    </w:p>
    <w:p w14:paraId="00FAB0E1" w14:textId="4D022268" w:rsidR="00AC011F" w:rsidRPr="005C2CEC" w:rsidRDefault="00944DC1" w:rsidP="005C2CEC">
      <w:pPr>
        <w:numPr>
          <w:ilvl w:val="0"/>
          <w:numId w:val="8"/>
        </w:numPr>
        <w:spacing w:before="120" w:after="120"/>
        <w:rPr>
          <w:rFonts w:asciiTheme="minorBidi" w:eastAsia="Times New Roman" w:hAnsiTheme="minorBidi"/>
          <w:spacing w:val="5"/>
        </w:rPr>
      </w:pPr>
      <w:r w:rsidRPr="00944DC1">
        <w:rPr>
          <w:rFonts w:asciiTheme="minorBidi" w:eastAsia="Times New Roman" w:hAnsiTheme="minorBidi"/>
          <w:spacing w:val="5"/>
        </w:rPr>
        <w:t>High-risk features include bladder dysfunction and rapid onset.</w:t>
      </w:r>
    </w:p>
    <w:p w14:paraId="376356D8" w14:textId="77777777" w:rsidR="008E2418" w:rsidRPr="005C2CEC" w:rsidRDefault="008E2418" w:rsidP="005C2CEC">
      <w:pPr>
        <w:rPr>
          <w:rFonts w:asciiTheme="minorBidi" w:hAnsiTheme="minorBidi"/>
          <w:b/>
          <w:bCs/>
          <w:color w:val="000000" w:themeColor="text1"/>
        </w:rPr>
      </w:pPr>
    </w:p>
    <w:p w14:paraId="397ACA36" w14:textId="2A1248D2" w:rsidR="00631D8F" w:rsidRPr="005C2CEC" w:rsidRDefault="00B9765B" w:rsidP="005C2CEC">
      <w:pPr>
        <w:rPr>
          <w:rFonts w:asciiTheme="minorBidi" w:hAnsiTheme="minorBidi"/>
        </w:rPr>
      </w:pPr>
      <w:r w:rsidRPr="005C2CEC">
        <w:rPr>
          <w:rFonts w:asciiTheme="minorBidi" w:hAnsiTheme="minorBidi"/>
          <w:b/>
          <w:bCs/>
          <w:color w:val="000000" w:themeColor="text1"/>
        </w:rPr>
        <w:t>Stud</w:t>
      </w:r>
      <w:r w:rsidR="00166989" w:rsidRPr="005C2CEC">
        <w:rPr>
          <w:rFonts w:asciiTheme="minorBidi" w:hAnsiTheme="minorBidi"/>
          <w:b/>
          <w:bCs/>
          <w:color w:val="000000" w:themeColor="text1"/>
        </w:rPr>
        <w:t>y</w:t>
      </w:r>
      <w:r w:rsidRPr="005C2CEC">
        <w:rPr>
          <w:rFonts w:asciiTheme="minorBidi" w:hAnsiTheme="minorBidi"/>
          <w:b/>
          <w:bCs/>
          <w:color w:val="000000" w:themeColor="text1"/>
        </w:rPr>
        <w:t xml:space="preserve"> 6 - </w:t>
      </w:r>
      <w:r w:rsidR="00827B37" w:rsidRPr="005C2CEC">
        <w:rPr>
          <w:rFonts w:asciiTheme="minorBidi" w:hAnsiTheme="minorBidi"/>
          <w:b/>
          <w:bCs/>
          <w:color w:val="000000"/>
        </w:rPr>
        <w:t xml:space="preserve">Underdosing of Benzodiazepines in Patients </w:t>
      </w:r>
      <w:proofErr w:type="gramStart"/>
      <w:r w:rsidR="00827B37" w:rsidRPr="005C2CEC">
        <w:rPr>
          <w:rFonts w:asciiTheme="minorBidi" w:hAnsiTheme="minorBidi"/>
          <w:b/>
          <w:bCs/>
          <w:color w:val="000000"/>
        </w:rPr>
        <w:t>With</w:t>
      </w:r>
      <w:proofErr w:type="gramEnd"/>
      <w:r w:rsidR="00827B37" w:rsidRPr="005C2CEC">
        <w:rPr>
          <w:rFonts w:asciiTheme="minorBidi" w:hAnsiTheme="minorBidi"/>
          <w:b/>
          <w:bCs/>
          <w:color w:val="000000"/>
        </w:rPr>
        <w:t xml:space="preserve"> Status Epilepticus Enrolled in Established Status Epilepticus Treatment Trial. </w:t>
      </w:r>
      <w:hyperlink r:id="rId8" w:tooltip="Academic emergency medicine : official journal of the Society for Academic Emergency Medicine." w:history="1">
        <w:proofErr w:type="spellStart"/>
        <w:r w:rsidR="00827B37" w:rsidRPr="005C2CEC">
          <w:rPr>
            <w:rStyle w:val="Hyperlink"/>
            <w:rFonts w:asciiTheme="minorBidi" w:hAnsiTheme="minorBidi"/>
            <w:color w:val="660066"/>
          </w:rPr>
          <w:t>Acad</w:t>
        </w:r>
        <w:proofErr w:type="spellEnd"/>
        <w:r w:rsidR="00827B37" w:rsidRPr="005C2CEC">
          <w:rPr>
            <w:rStyle w:val="Hyperlink"/>
            <w:rFonts w:asciiTheme="minorBidi" w:hAnsiTheme="minorBidi"/>
            <w:color w:val="660066"/>
          </w:rPr>
          <w:t xml:space="preserve"> </w:t>
        </w:r>
        <w:proofErr w:type="spellStart"/>
        <w:r w:rsidR="00827B37" w:rsidRPr="005C2CEC">
          <w:rPr>
            <w:rStyle w:val="Hyperlink"/>
            <w:rFonts w:asciiTheme="minorBidi" w:hAnsiTheme="minorBidi"/>
            <w:color w:val="660066"/>
          </w:rPr>
          <w:t>Emerg</w:t>
        </w:r>
        <w:proofErr w:type="spellEnd"/>
        <w:r w:rsidR="00827B37" w:rsidRPr="005C2CEC">
          <w:rPr>
            <w:rStyle w:val="Hyperlink"/>
            <w:rFonts w:asciiTheme="minorBidi" w:hAnsiTheme="minorBidi"/>
            <w:color w:val="660066"/>
          </w:rPr>
          <w:t xml:space="preserve"> Med.</w:t>
        </w:r>
      </w:hyperlink>
      <w:r w:rsidR="00827B37" w:rsidRPr="005C2CEC">
        <w:rPr>
          <w:rStyle w:val="apple-converted-space"/>
          <w:rFonts w:asciiTheme="minorBidi" w:hAnsiTheme="minorBidi"/>
          <w:color w:val="000000"/>
          <w:shd w:val="clear" w:color="auto" w:fill="FFFFFF"/>
        </w:rPr>
        <w:t> </w:t>
      </w:r>
      <w:r w:rsidR="00827B37" w:rsidRPr="005C2CEC">
        <w:rPr>
          <w:rFonts w:asciiTheme="minorBidi" w:hAnsiTheme="minorBidi"/>
          <w:color w:val="000000"/>
          <w:shd w:val="clear" w:color="auto" w:fill="FFFFFF"/>
        </w:rPr>
        <w:t xml:space="preserve">2019 Aug;26(8):940-943. </w:t>
      </w:r>
      <w:proofErr w:type="spellStart"/>
      <w:r w:rsidR="00827B37" w:rsidRPr="005C2CEC">
        <w:rPr>
          <w:rFonts w:asciiTheme="minorBidi" w:hAnsiTheme="minorBidi"/>
          <w:color w:val="000000"/>
          <w:shd w:val="clear" w:color="auto" w:fill="FFFFFF"/>
        </w:rPr>
        <w:t>doi</w:t>
      </w:r>
      <w:proofErr w:type="spellEnd"/>
      <w:r w:rsidR="00827B37" w:rsidRPr="005C2CEC">
        <w:rPr>
          <w:rFonts w:asciiTheme="minorBidi" w:hAnsiTheme="minorBidi"/>
          <w:color w:val="000000"/>
          <w:shd w:val="clear" w:color="auto" w:fill="FFFFFF"/>
        </w:rPr>
        <w:t xml:space="preserve">: 10.1111/acem.13811. </w:t>
      </w:r>
      <w:proofErr w:type="spellStart"/>
      <w:r w:rsidR="00827B37" w:rsidRPr="005C2CEC">
        <w:rPr>
          <w:rFonts w:asciiTheme="minorBidi" w:hAnsiTheme="minorBidi"/>
          <w:color w:val="000000"/>
          <w:shd w:val="clear" w:color="auto" w:fill="FFFFFF"/>
        </w:rPr>
        <w:t>Epub</w:t>
      </w:r>
      <w:proofErr w:type="spellEnd"/>
      <w:r w:rsidR="00827B37" w:rsidRPr="005C2CEC">
        <w:rPr>
          <w:rFonts w:asciiTheme="minorBidi" w:hAnsiTheme="minorBidi"/>
          <w:color w:val="000000"/>
          <w:shd w:val="clear" w:color="auto" w:fill="FFFFFF"/>
        </w:rPr>
        <w:t xml:space="preserve"> 2019 Jul 18.</w:t>
      </w:r>
    </w:p>
    <w:p w14:paraId="678032DF" w14:textId="77777777" w:rsidR="0028312F" w:rsidRPr="005C2CEC" w:rsidRDefault="0028312F" w:rsidP="005C2CEC">
      <w:pPr>
        <w:rPr>
          <w:rFonts w:asciiTheme="minorBidi" w:eastAsia="Times New Roman" w:hAnsiTheme="minorBidi"/>
          <w:b/>
          <w:bCs/>
          <w:color w:val="000000" w:themeColor="text1"/>
          <w:shd w:val="clear" w:color="auto" w:fill="FFFFFF"/>
        </w:rPr>
      </w:pPr>
    </w:p>
    <w:p w14:paraId="1D8F0015" w14:textId="7C2A5BC6" w:rsidR="00827B37" w:rsidRPr="005C2CEC" w:rsidRDefault="00166989" w:rsidP="005C2CEC">
      <w:pPr>
        <w:rPr>
          <w:rFonts w:asciiTheme="minorBidi" w:eastAsia="Times New Roman" w:hAnsiTheme="minorBidi"/>
          <w:color w:val="000000" w:themeColor="text1"/>
          <w:shd w:val="clear" w:color="auto" w:fill="FFFFFF"/>
        </w:rPr>
      </w:pPr>
      <w:r w:rsidRPr="005C2CEC">
        <w:rPr>
          <w:rFonts w:asciiTheme="minorBidi" w:eastAsia="Times New Roman" w:hAnsiTheme="minorBidi"/>
          <w:b/>
          <w:bCs/>
          <w:color w:val="000000" w:themeColor="text1"/>
          <w:shd w:val="clear" w:color="auto" w:fill="FFFFFF"/>
        </w:rPr>
        <w:t>Takeaway</w:t>
      </w:r>
      <w:r w:rsidRPr="005C2CEC">
        <w:rPr>
          <w:rFonts w:asciiTheme="minorBidi" w:eastAsia="Times New Roman" w:hAnsiTheme="minorBidi"/>
          <w:color w:val="000000" w:themeColor="text1"/>
          <w:shd w:val="clear" w:color="auto" w:fill="FFFFFF"/>
        </w:rPr>
        <w:t xml:space="preserve"> – </w:t>
      </w:r>
      <w:r w:rsidR="0043280A" w:rsidRPr="005C2CEC">
        <w:rPr>
          <w:rFonts w:asciiTheme="minorBidi" w:eastAsia="Times New Roman" w:hAnsiTheme="minorBidi"/>
          <w:color w:val="000000" w:themeColor="text1"/>
          <w:shd w:val="clear" w:color="auto" w:fill="FFFFFF"/>
        </w:rPr>
        <w:t xml:space="preserve">This </w:t>
      </w:r>
      <w:r w:rsidR="00827B37" w:rsidRPr="005C2CEC">
        <w:rPr>
          <w:rFonts w:asciiTheme="minorBidi" w:eastAsia="Times New Roman" w:hAnsiTheme="minorBidi"/>
          <w:color w:val="000000" w:themeColor="text1"/>
          <w:shd w:val="clear" w:color="auto" w:fill="FFFFFF"/>
        </w:rPr>
        <w:t xml:space="preserve">research letter found we underdose benzodiazepines in the ED for patients with refractory status epilepticus. The first dose of lorazepam was correct in 14.7% of patients, and for midazolam, 15.4% of patients </w:t>
      </w:r>
      <w:r w:rsidR="00122C22">
        <w:rPr>
          <w:rFonts w:asciiTheme="minorBidi" w:eastAsia="Times New Roman" w:hAnsiTheme="minorBidi"/>
          <w:color w:val="000000" w:themeColor="text1"/>
          <w:shd w:val="clear" w:color="auto" w:fill="FFFFFF"/>
        </w:rPr>
        <w:t>when administered in the</w:t>
      </w:r>
      <w:r w:rsidR="00827B37" w:rsidRPr="005C2CEC">
        <w:rPr>
          <w:rFonts w:asciiTheme="minorBidi" w:eastAsia="Times New Roman" w:hAnsiTheme="minorBidi"/>
          <w:color w:val="000000" w:themeColor="text1"/>
          <w:shd w:val="clear" w:color="auto" w:fill="FFFFFF"/>
        </w:rPr>
        <w:t xml:space="preserve"> ED. Overall, 29.8% of first doses met minimum recommendations per guidelines. </w:t>
      </w:r>
      <w:r w:rsidR="00827B37" w:rsidRPr="005C2CEC">
        <w:rPr>
          <w:rFonts w:asciiTheme="minorBidi" w:eastAsia="Times New Roman" w:hAnsiTheme="minorBidi"/>
          <w:color w:val="000000" w:themeColor="text1"/>
          <w:shd w:val="clear" w:color="auto" w:fill="FFFFFF"/>
        </w:rPr>
        <w:lastRenderedPageBreak/>
        <w:t xml:space="preserve">Remember your benzodiazepine dosing for seizures: </w:t>
      </w:r>
      <w:r w:rsidR="00827B37" w:rsidRPr="00827B37">
        <w:rPr>
          <w:rFonts w:asciiTheme="minorBidi" w:eastAsia="Times New Roman" w:hAnsiTheme="minorBidi"/>
          <w:color w:val="000000" w:themeColor="text1"/>
        </w:rPr>
        <w:t>IM MDZ - 10 mg vs. 5mg</w:t>
      </w:r>
      <w:r w:rsidR="00827B37" w:rsidRPr="005C2CEC">
        <w:rPr>
          <w:rFonts w:asciiTheme="minorBidi" w:eastAsia="Times New Roman" w:hAnsiTheme="minorBidi"/>
          <w:color w:val="000000" w:themeColor="text1"/>
        </w:rPr>
        <w:t xml:space="preserve">, </w:t>
      </w:r>
      <w:r w:rsidR="00827B37" w:rsidRPr="00827B37">
        <w:rPr>
          <w:rFonts w:asciiTheme="minorBidi" w:eastAsia="Times New Roman" w:hAnsiTheme="minorBidi"/>
          <w:color w:val="000000" w:themeColor="text1"/>
        </w:rPr>
        <w:t>IV LZP - 0.1 mg/kg/dose</w:t>
      </w:r>
      <w:r w:rsidR="00827B37" w:rsidRPr="005C2CEC">
        <w:rPr>
          <w:rFonts w:asciiTheme="minorBidi" w:eastAsia="Times New Roman" w:hAnsiTheme="minorBidi"/>
          <w:color w:val="000000" w:themeColor="text1"/>
        </w:rPr>
        <w:t xml:space="preserve">, </w:t>
      </w:r>
      <w:r w:rsidR="00827B37" w:rsidRPr="00827B37">
        <w:rPr>
          <w:rFonts w:asciiTheme="minorBidi" w:eastAsia="Times New Roman" w:hAnsiTheme="minorBidi"/>
          <w:color w:val="000000" w:themeColor="text1"/>
        </w:rPr>
        <w:t>IV DZP - 0.15-0.2 mg/kg/dose</w:t>
      </w:r>
      <w:r w:rsidR="00827B37" w:rsidRPr="005C2CEC">
        <w:rPr>
          <w:rFonts w:asciiTheme="minorBidi" w:eastAsia="Times New Roman" w:hAnsiTheme="minorBidi"/>
          <w:color w:val="000000" w:themeColor="text1"/>
        </w:rPr>
        <w:t>.</w:t>
      </w:r>
      <w:r w:rsidR="00827B37" w:rsidRPr="005C2CEC">
        <w:rPr>
          <w:rFonts w:asciiTheme="minorBidi" w:eastAsia="Times New Roman" w:hAnsiTheme="minorBidi"/>
          <w:color w:val="000000" w:themeColor="text1"/>
          <w:shd w:val="clear" w:color="auto" w:fill="FFFFFF"/>
        </w:rPr>
        <w:t xml:space="preserve"> </w:t>
      </w:r>
      <w:r w:rsidR="00827B37" w:rsidRPr="005C2CEC">
        <w:rPr>
          <w:rFonts w:asciiTheme="minorBidi" w:eastAsia="Times New Roman" w:hAnsiTheme="minorBidi"/>
          <w:color w:val="000000" w:themeColor="text1"/>
        </w:rPr>
        <w:t>If refractory X2, strongly consider sedation and intubation.</w:t>
      </w:r>
    </w:p>
    <w:p w14:paraId="59F0D028" w14:textId="19CDE260" w:rsidR="00166989" w:rsidRPr="005C2CEC" w:rsidRDefault="00166989" w:rsidP="005C2CEC">
      <w:pPr>
        <w:rPr>
          <w:rFonts w:asciiTheme="minorBidi" w:eastAsia="Times New Roman" w:hAnsiTheme="minorBidi"/>
          <w:color w:val="000000" w:themeColor="text1"/>
        </w:rPr>
      </w:pPr>
    </w:p>
    <w:p w14:paraId="1EA1C061" w14:textId="098DC313" w:rsidR="00631D8F" w:rsidRPr="005C2CEC" w:rsidRDefault="00166989" w:rsidP="005C2CEC">
      <w:pPr>
        <w:rPr>
          <w:rFonts w:asciiTheme="minorBidi" w:hAnsiTheme="minorBidi"/>
          <w:spacing w:val="5"/>
          <w:shd w:val="clear" w:color="auto" w:fill="FFFFFF"/>
        </w:rPr>
      </w:pPr>
      <w:r w:rsidRPr="005C2CEC">
        <w:rPr>
          <w:rFonts w:asciiTheme="minorBidi" w:hAnsiTheme="minorBidi"/>
          <w:b/>
          <w:bCs/>
          <w:color w:val="000000" w:themeColor="text1"/>
        </w:rPr>
        <w:t xml:space="preserve">Study 7 - </w:t>
      </w:r>
      <w:r w:rsidR="0028312F" w:rsidRPr="005C2CEC">
        <w:rPr>
          <w:rFonts w:asciiTheme="minorBidi" w:hAnsiTheme="minorBidi"/>
          <w:b/>
          <w:bCs/>
          <w:spacing w:val="5"/>
        </w:rPr>
        <w:t>Diagnosis and Treatment of Adults with Community-acquired Pneumonia. An Official Clinical Practice Guideline of the American Thoracic Society and Infectious Diseases Society of America.</w:t>
      </w:r>
      <w:r w:rsidR="0028312F" w:rsidRPr="005C2CEC">
        <w:rPr>
          <w:rFonts w:asciiTheme="minorBidi" w:hAnsiTheme="minorBidi"/>
          <w:b/>
          <w:bCs/>
          <w:spacing w:val="5"/>
          <w:shd w:val="clear" w:color="auto" w:fill="FFFFFF"/>
        </w:rPr>
        <w:t xml:space="preserve"> </w:t>
      </w:r>
      <w:r w:rsidR="0028312F" w:rsidRPr="005C2CEC">
        <w:rPr>
          <w:rFonts w:asciiTheme="minorBidi" w:hAnsiTheme="minorBidi"/>
          <w:spacing w:val="5"/>
          <w:shd w:val="clear" w:color="auto" w:fill="FFFFFF"/>
        </w:rPr>
        <w:t xml:space="preserve">Am J Respir </w:t>
      </w:r>
      <w:proofErr w:type="spellStart"/>
      <w:r w:rsidR="0028312F" w:rsidRPr="005C2CEC">
        <w:rPr>
          <w:rFonts w:asciiTheme="minorBidi" w:hAnsiTheme="minorBidi"/>
          <w:spacing w:val="5"/>
          <w:shd w:val="clear" w:color="auto" w:fill="FFFFFF"/>
        </w:rPr>
        <w:t>Crit</w:t>
      </w:r>
      <w:proofErr w:type="spellEnd"/>
      <w:r w:rsidR="0028312F" w:rsidRPr="005C2CEC">
        <w:rPr>
          <w:rFonts w:asciiTheme="minorBidi" w:hAnsiTheme="minorBidi"/>
          <w:spacing w:val="5"/>
          <w:shd w:val="clear" w:color="auto" w:fill="FFFFFF"/>
        </w:rPr>
        <w:t xml:space="preserve"> Care Med. 2019 Oct 1;200(7):e45-e67. </w:t>
      </w:r>
      <w:proofErr w:type="spellStart"/>
      <w:r w:rsidR="0028312F" w:rsidRPr="005C2CEC">
        <w:rPr>
          <w:rFonts w:asciiTheme="minorBidi" w:hAnsiTheme="minorBidi"/>
          <w:spacing w:val="5"/>
          <w:shd w:val="clear" w:color="auto" w:fill="FFFFFF"/>
        </w:rPr>
        <w:t>doi</w:t>
      </w:r>
      <w:proofErr w:type="spellEnd"/>
      <w:r w:rsidR="0028312F" w:rsidRPr="005C2CEC">
        <w:rPr>
          <w:rFonts w:asciiTheme="minorBidi" w:hAnsiTheme="minorBidi"/>
          <w:spacing w:val="5"/>
          <w:shd w:val="clear" w:color="auto" w:fill="FFFFFF"/>
        </w:rPr>
        <w:t>: 10.1164/rccm.201908-1581ST.</w:t>
      </w:r>
    </w:p>
    <w:p w14:paraId="312FFB11" w14:textId="77777777" w:rsidR="0028312F" w:rsidRPr="005C2CEC" w:rsidRDefault="0028312F" w:rsidP="005C2CEC">
      <w:pPr>
        <w:rPr>
          <w:rFonts w:asciiTheme="minorBidi" w:hAnsiTheme="minorBidi"/>
        </w:rPr>
      </w:pPr>
    </w:p>
    <w:p w14:paraId="36743353" w14:textId="74964D06" w:rsidR="004926FC" w:rsidRPr="005C2CEC" w:rsidRDefault="004926FC" w:rsidP="005C2CEC">
      <w:pPr>
        <w:rPr>
          <w:rFonts w:asciiTheme="minorBidi" w:eastAsia="Times New Roman" w:hAnsiTheme="minorBidi"/>
          <w:color w:val="000000" w:themeColor="text1"/>
        </w:rPr>
      </w:pPr>
      <w:r w:rsidRPr="005C2CEC">
        <w:rPr>
          <w:rFonts w:asciiTheme="minorBidi" w:eastAsia="Times New Roman" w:hAnsiTheme="minorBidi"/>
          <w:b/>
          <w:bCs/>
          <w:color w:val="000000" w:themeColor="text1"/>
        </w:rPr>
        <w:t>Takeaway</w:t>
      </w:r>
      <w:r w:rsidRPr="005C2CEC">
        <w:rPr>
          <w:rFonts w:asciiTheme="minorBidi" w:eastAsia="Times New Roman" w:hAnsiTheme="minorBidi"/>
          <w:color w:val="000000" w:themeColor="text1"/>
        </w:rPr>
        <w:t xml:space="preserve"> – </w:t>
      </w:r>
      <w:r w:rsidR="0028312F" w:rsidRPr="005C2CEC">
        <w:rPr>
          <w:rFonts w:asciiTheme="minorBidi" w:eastAsia="Times New Roman" w:hAnsiTheme="minorBidi"/>
          <w:color w:val="000000" w:themeColor="text1"/>
        </w:rPr>
        <w:t xml:space="preserve">This update for community-acquired pneumonia (CAP) provides some must know information for </w:t>
      </w:r>
      <w:r w:rsidR="008629B8">
        <w:rPr>
          <w:rFonts w:asciiTheme="minorBidi" w:eastAsia="Times New Roman" w:hAnsiTheme="minorBidi"/>
          <w:color w:val="000000" w:themeColor="text1"/>
        </w:rPr>
        <w:t>ED clinicians</w:t>
      </w:r>
      <w:r w:rsidR="0028312F" w:rsidRPr="005C2CEC">
        <w:rPr>
          <w:rFonts w:asciiTheme="minorBidi" w:eastAsia="Times New Roman" w:hAnsiTheme="minorBidi"/>
          <w:color w:val="000000" w:themeColor="text1"/>
        </w:rPr>
        <w:t>.</w:t>
      </w:r>
    </w:p>
    <w:p w14:paraId="293F8814" w14:textId="77777777" w:rsidR="0028312F" w:rsidRPr="0028312F" w:rsidRDefault="0028312F" w:rsidP="005C2CEC">
      <w:pPr>
        <w:spacing w:before="100" w:beforeAutospacing="1" w:after="100" w:afterAutospacing="1"/>
        <w:rPr>
          <w:rFonts w:asciiTheme="minorBidi" w:eastAsia="Times New Roman" w:hAnsiTheme="minorBidi"/>
          <w:spacing w:val="5"/>
        </w:rPr>
      </w:pPr>
      <w:r w:rsidRPr="0028312F">
        <w:rPr>
          <w:rFonts w:asciiTheme="minorBidi" w:eastAsia="Times New Roman" w:hAnsiTheme="minorBidi"/>
          <w:i/>
          <w:iCs/>
          <w:spacing w:val="5"/>
        </w:rPr>
        <w:t>Question 1:</w:t>
      </w:r>
      <w:r w:rsidRPr="0028312F">
        <w:rPr>
          <w:rFonts w:asciiTheme="minorBidi" w:eastAsia="Times New Roman" w:hAnsiTheme="minorBidi"/>
          <w:spacing w:val="5"/>
        </w:rPr>
        <w:t xml:space="preserve"> In adults with CAP, should gram stain and culture of lower respiratory secretions be obtained at the time of diagnosis?</w:t>
      </w:r>
    </w:p>
    <w:p w14:paraId="41065FFD" w14:textId="52543D57" w:rsidR="0028312F" w:rsidRPr="005C2CEC" w:rsidRDefault="0028312F" w:rsidP="005C2CEC">
      <w:pPr>
        <w:numPr>
          <w:ilvl w:val="0"/>
          <w:numId w:val="24"/>
        </w:numPr>
        <w:spacing w:before="120" w:after="120"/>
        <w:rPr>
          <w:rFonts w:asciiTheme="minorBidi" w:eastAsia="Times New Roman" w:hAnsiTheme="minorBidi"/>
          <w:spacing w:val="5"/>
        </w:rPr>
      </w:pPr>
      <w:r w:rsidRPr="0028312F">
        <w:rPr>
          <w:rFonts w:asciiTheme="minorBidi" w:eastAsia="Times New Roman" w:hAnsiTheme="minorBidi"/>
          <w:spacing w:val="5"/>
        </w:rPr>
        <w:t>Not in outpatients; only if severe inpatient (or intubated), if starting empiric anti-pseudomonal or MRSA coverage, prior history of pseudomonas/MRSA, or prior hospitalization in the past 90-days.</w:t>
      </w:r>
    </w:p>
    <w:p w14:paraId="7932442F"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2:</w:t>
      </w:r>
      <w:r w:rsidRPr="005C2CEC">
        <w:rPr>
          <w:rFonts w:asciiTheme="minorBidi" w:hAnsiTheme="minorBidi"/>
          <w:spacing w:val="5"/>
        </w:rPr>
        <w:t xml:space="preserve"> In adults with CAP, should blood cultures be obtained at the time of diagnosis?</w:t>
      </w:r>
    </w:p>
    <w:p w14:paraId="186EC3A0" w14:textId="77777777" w:rsidR="0028312F" w:rsidRPr="005C2CEC" w:rsidRDefault="0028312F" w:rsidP="005C2CEC">
      <w:pPr>
        <w:numPr>
          <w:ilvl w:val="0"/>
          <w:numId w:val="9"/>
        </w:numPr>
        <w:spacing w:before="120" w:after="120"/>
        <w:rPr>
          <w:rFonts w:asciiTheme="minorBidi" w:hAnsiTheme="minorBidi"/>
          <w:spacing w:val="5"/>
        </w:rPr>
      </w:pPr>
      <w:r w:rsidRPr="005C2CEC">
        <w:rPr>
          <w:rFonts w:asciiTheme="minorBidi" w:hAnsiTheme="minorBidi"/>
          <w:spacing w:val="5"/>
        </w:rPr>
        <w:t>Not in outpatients or milder severity inpatients; yes if severe inpatient (or intubated), if starting empiric anti-pseudomonal or MRSA coverage, prior history of pseudomonas/MRSA, or prior hospitalization in the past 90-days.</w:t>
      </w:r>
    </w:p>
    <w:p w14:paraId="7EDC05A2"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4</w:t>
      </w:r>
      <w:r w:rsidRPr="005C2CEC">
        <w:rPr>
          <w:rFonts w:asciiTheme="minorBidi" w:hAnsiTheme="minorBidi"/>
          <w:spacing w:val="5"/>
        </w:rPr>
        <w:t>: In adults with CAP, should a respiratory sample be tested for influenza virus at the time of diagnosis?</w:t>
      </w:r>
    </w:p>
    <w:p w14:paraId="59D12444" w14:textId="77777777" w:rsidR="0028312F" w:rsidRPr="005C2CEC" w:rsidRDefault="0028312F" w:rsidP="005C2CEC">
      <w:pPr>
        <w:numPr>
          <w:ilvl w:val="0"/>
          <w:numId w:val="11"/>
        </w:numPr>
        <w:spacing w:before="120" w:after="120"/>
        <w:rPr>
          <w:rFonts w:asciiTheme="minorBidi" w:hAnsiTheme="minorBidi"/>
          <w:spacing w:val="5"/>
        </w:rPr>
      </w:pPr>
      <w:r w:rsidRPr="005C2CEC">
        <w:rPr>
          <w:rFonts w:asciiTheme="minorBidi" w:hAnsiTheme="minorBidi"/>
          <w:spacing w:val="5"/>
        </w:rPr>
        <w:t>Yes at times of high flu prevalence, and they recommend using a molecular assay rather than antigen test.</w:t>
      </w:r>
    </w:p>
    <w:p w14:paraId="47692DD4"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5</w:t>
      </w:r>
      <w:r w:rsidRPr="005C2CEC">
        <w:rPr>
          <w:rFonts w:asciiTheme="minorBidi" w:hAnsiTheme="minorBidi"/>
          <w:spacing w:val="5"/>
        </w:rPr>
        <w:t>: In adults with CAP, should serum procalcitonin plus clinical judgment versus clinical judgment alone be used to withhold Initiation of antibiotic treatment?</w:t>
      </w:r>
    </w:p>
    <w:p w14:paraId="290FF1CA" w14:textId="77777777" w:rsidR="0028312F" w:rsidRPr="005C2CEC" w:rsidRDefault="0028312F" w:rsidP="005C2CEC">
      <w:pPr>
        <w:numPr>
          <w:ilvl w:val="0"/>
          <w:numId w:val="12"/>
        </w:numPr>
        <w:spacing w:before="120" w:after="120"/>
        <w:rPr>
          <w:rFonts w:asciiTheme="minorBidi" w:hAnsiTheme="minorBidi"/>
          <w:spacing w:val="5"/>
        </w:rPr>
      </w:pPr>
      <w:r w:rsidRPr="005C2CEC">
        <w:rPr>
          <w:rFonts w:asciiTheme="minorBidi" w:hAnsiTheme="minorBidi"/>
          <w:spacing w:val="5"/>
        </w:rPr>
        <w:t>If clinically suspected and radiographically confirmed, forget about procalcitonin.</w:t>
      </w:r>
    </w:p>
    <w:p w14:paraId="63BB88B4"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6:</w:t>
      </w:r>
      <w:r w:rsidRPr="005C2CEC">
        <w:rPr>
          <w:rFonts w:asciiTheme="minorBidi" w:hAnsiTheme="minorBidi"/>
          <w:spacing w:val="5"/>
        </w:rPr>
        <w:t xml:space="preserve"> Should a clinical prediction rule for prognosis plus clinical judgment versus clinical judgment alone be used to determine inpatient versus outpatient treatment location for adults with CAP?</w:t>
      </w:r>
    </w:p>
    <w:p w14:paraId="2C7855AE" w14:textId="77777777" w:rsidR="0028312F" w:rsidRPr="005C2CEC" w:rsidRDefault="0028312F" w:rsidP="005C2CEC">
      <w:pPr>
        <w:numPr>
          <w:ilvl w:val="0"/>
          <w:numId w:val="13"/>
        </w:numPr>
        <w:spacing w:before="120" w:after="120"/>
        <w:rPr>
          <w:rFonts w:asciiTheme="minorBidi" w:hAnsiTheme="minorBidi"/>
          <w:spacing w:val="5"/>
        </w:rPr>
      </w:pPr>
      <w:r w:rsidRPr="005C2CEC">
        <w:rPr>
          <w:rFonts w:asciiTheme="minorBidi" w:hAnsiTheme="minorBidi"/>
          <w:spacing w:val="5"/>
        </w:rPr>
        <w:t xml:space="preserve">They recommend clinical judgment plus the </w:t>
      </w:r>
      <w:hyperlink r:id="rId9" w:tgtFrame="_blank" w:history="1">
        <w:r w:rsidRPr="005C2CEC">
          <w:rPr>
            <w:rStyle w:val="Hyperlink"/>
            <w:rFonts w:asciiTheme="minorBidi" w:hAnsiTheme="minorBidi"/>
            <w:color w:val="1177B6"/>
            <w:spacing w:val="5"/>
          </w:rPr>
          <w:t>Pneumonia Severity Index</w:t>
        </w:r>
      </w:hyperlink>
      <w:r w:rsidRPr="005C2CEC">
        <w:rPr>
          <w:rFonts w:asciiTheme="minorBidi" w:hAnsiTheme="minorBidi"/>
          <w:spacing w:val="5"/>
        </w:rPr>
        <w:t xml:space="preserve">, which is preferred over </w:t>
      </w:r>
      <w:hyperlink r:id="rId10" w:tgtFrame="_blank" w:history="1">
        <w:r w:rsidRPr="005C2CEC">
          <w:rPr>
            <w:rStyle w:val="Hyperlink"/>
            <w:rFonts w:asciiTheme="minorBidi" w:hAnsiTheme="minorBidi"/>
            <w:color w:val="1177B6"/>
            <w:spacing w:val="5"/>
          </w:rPr>
          <w:t>CURB-65</w:t>
        </w:r>
      </w:hyperlink>
      <w:r w:rsidRPr="005C2CEC">
        <w:rPr>
          <w:rFonts w:asciiTheme="minorBidi" w:hAnsiTheme="minorBidi"/>
          <w:spacing w:val="5"/>
        </w:rPr>
        <w:t>.</w:t>
      </w:r>
    </w:p>
    <w:p w14:paraId="1F7BCA75"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7</w:t>
      </w:r>
      <w:r w:rsidRPr="005C2CEC">
        <w:rPr>
          <w:rFonts w:asciiTheme="minorBidi" w:hAnsiTheme="minorBidi"/>
          <w:spacing w:val="5"/>
        </w:rPr>
        <w:t xml:space="preserve">: Should a clinical prediction rule for prognosis plus clinical judgment versus clinical judgment alone be used to determine inpatient general medical </w:t>
      </w:r>
      <w:r w:rsidRPr="005C2CEC">
        <w:rPr>
          <w:rFonts w:asciiTheme="minorBidi" w:hAnsiTheme="minorBidi"/>
          <w:spacing w:val="5"/>
        </w:rPr>
        <w:lastRenderedPageBreak/>
        <w:t>versus higher levels of inpatient treatment intensity (ICU, step-down, or telemetry unit) for adults with CAP?</w:t>
      </w:r>
    </w:p>
    <w:p w14:paraId="6B12A09A" w14:textId="77777777" w:rsidR="0028312F" w:rsidRPr="005C2CEC" w:rsidRDefault="0028312F" w:rsidP="005C2CEC">
      <w:pPr>
        <w:numPr>
          <w:ilvl w:val="0"/>
          <w:numId w:val="14"/>
        </w:numPr>
        <w:spacing w:before="120" w:after="120"/>
        <w:rPr>
          <w:rFonts w:asciiTheme="minorBidi" w:hAnsiTheme="minorBidi"/>
          <w:spacing w:val="5"/>
        </w:rPr>
      </w:pPr>
      <w:r w:rsidRPr="005C2CEC">
        <w:rPr>
          <w:rFonts w:asciiTheme="minorBidi" w:hAnsiTheme="minorBidi"/>
          <w:spacing w:val="5"/>
        </w:rPr>
        <w:t>Of course, hypotension on vasopressors and intubated patients need the ICU. Otherwise, they recommend clinical judgment plus the 2007 IDSA/ATS minor severity criteria.</w:t>
      </w:r>
    </w:p>
    <w:p w14:paraId="44A81354"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8</w:t>
      </w:r>
      <w:r w:rsidRPr="005C2CEC">
        <w:rPr>
          <w:rFonts w:asciiTheme="minorBidi" w:hAnsiTheme="minorBidi"/>
          <w:spacing w:val="5"/>
        </w:rPr>
        <w:t>: In the outpatient setting, which antibiotics are recommended for empiric treatment of CAP in adults?</w:t>
      </w:r>
    </w:p>
    <w:p w14:paraId="7EFA6031" w14:textId="77777777" w:rsidR="0028312F" w:rsidRPr="005C2CEC" w:rsidRDefault="0028312F" w:rsidP="005C2CEC">
      <w:pPr>
        <w:numPr>
          <w:ilvl w:val="0"/>
          <w:numId w:val="15"/>
        </w:numPr>
        <w:spacing w:before="120" w:after="120"/>
        <w:rPr>
          <w:rFonts w:asciiTheme="minorBidi" w:hAnsiTheme="minorBidi"/>
          <w:spacing w:val="5"/>
        </w:rPr>
      </w:pPr>
      <w:r w:rsidRPr="005C2CEC">
        <w:rPr>
          <w:rFonts w:asciiTheme="minorBidi" w:hAnsiTheme="minorBidi"/>
          <w:spacing w:val="5"/>
        </w:rPr>
        <w:t>Previously healthy with low risk for resistance: amoxicillin 1g TID; doxycycline 100mg BID; or azithromycin (macrolides assuming low community pneumococcal resistance, &lt;25%).</w:t>
      </w:r>
    </w:p>
    <w:p w14:paraId="66494078" w14:textId="77777777" w:rsidR="0028312F" w:rsidRPr="005C2CEC" w:rsidRDefault="0028312F" w:rsidP="005C2CEC">
      <w:pPr>
        <w:numPr>
          <w:ilvl w:val="0"/>
          <w:numId w:val="15"/>
        </w:numPr>
        <w:spacing w:before="120" w:after="120"/>
        <w:rPr>
          <w:rFonts w:asciiTheme="minorBidi" w:hAnsiTheme="minorBidi"/>
          <w:spacing w:val="5"/>
        </w:rPr>
      </w:pPr>
      <w:r w:rsidRPr="005C2CEC">
        <w:rPr>
          <w:rFonts w:asciiTheme="minorBidi" w:hAnsiTheme="minorBidi"/>
          <w:spacing w:val="5"/>
        </w:rPr>
        <w:t xml:space="preserve">With comorbid diseases of heart, lung, liver, kidney, malignancy, or asplenia: amoxicillin/clavulanate + macrolide or doxycycline; another option is </w:t>
      </w:r>
      <w:proofErr w:type="spellStart"/>
      <w:r w:rsidRPr="005C2CEC">
        <w:rPr>
          <w:rFonts w:asciiTheme="minorBidi" w:hAnsiTheme="minorBidi"/>
          <w:spacing w:val="5"/>
        </w:rPr>
        <w:t>cepodoxime</w:t>
      </w:r>
      <w:proofErr w:type="spellEnd"/>
      <w:r w:rsidRPr="005C2CEC">
        <w:rPr>
          <w:rFonts w:asciiTheme="minorBidi" w:hAnsiTheme="minorBidi"/>
          <w:spacing w:val="5"/>
        </w:rPr>
        <w:t xml:space="preserve"> or cefuroxime + macrolide or doxycycline; OR monotherapy with a respiratory fluoroquinolone. See </w:t>
      </w:r>
      <w:hyperlink r:id="rId11" w:history="1">
        <w:r w:rsidRPr="005C2CEC">
          <w:rPr>
            <w:rStyle w:val="Hyperlink"/>
            <w:rFonts w:asciiTheme="minorBidi" w:hAnsiTheme="minorBidi"/>
            <w:color w:val="1177B6"/>
            <w:spacing w:val="5"/>
          </w:rPr>
          <w:t>dangers of fluoroquinolones</w:t>
        </w:r>
      </w:hyperlink>
      <w:r w:rsidRPr="005C2CEC">
        <w:rPr>
          <w:rFonts w:asciiTheme="minorBidi" w:hAnsiTheme="minorBidi"/>
          <w:spacing w:val="5"/>
        </w:rPr>
        <w:t>.</w:t>
      </w:r>
    </w:p>
    <w:p w14:paraId="233B216C"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9:</w:t>
      </w:r>
      <w:r w:rsidRPr="005C2CEC">
        <w:rPr>
          <w:rFonts w:asciiTheme="minorBidi" w:hAnsiTheme="minorBidi"/>
          <w:spacing w:val="5"/>
        </w:rPr>
        <w:t xml:space="preserve"> In the inpatient setting, which antibiotic regimens are recommended for empiric treatment of CAP in adults without risk factors for MRSA and </w:t>
      </w:r>
      <w:r w:rsidRPr="005C2CEC">
        <w:rPr>
          <w:rStyle w:val="Emphasis"/>
          <w:rFonts w:asciiTheme="minorBidi" w:hAnsiTheme="minorBidi"/>
          <w:spacing w:val="5"/>
        </w:rPr>
        <w:t>P. aeruginosa</w:t>
      </w:r>
      <w:r w:rsidRPr="005C2CEC">
        <w:rPr>
          <w:rFonts w:asciiTheme="minorBidi" w:hAnsiTheme="minorBidi"/>
          <w:spacing w:val="5"/>
        </w:rPr>
        <w:t>?</w:t>
      </w:r>
    </w:p>
    <w:p w14:paraId="2E7E004E" w14:textId="77777777" w:rsidR="0028312F" w:rsidRPr="005C2CEC" w:rsidRDefault="0028312F" w:rsidP="005C2CEC">
      <w:pPr>
        <w:numPr>
          <w:ilvl w:val="0"/>
          <w:numId w:val="16"/>
        </w:numPr>
        <w:spacing w:before="120" w:after="120"/>
        <w:rPr>
          <w:rFonts w:asciiTheme="minorBidi" w:hAnsiTheme="minorBidi"/>
          <w:spacing w:val="5"/>
        </w:rPr>
      </w:pPr>
      <w:r w:rsidRPr="005C2CEC">
        <w:rPr>
          <w:rFonts w:asciiTheme="minorBidi" w:hAnsiTheme="minorBidi"/>
          <w:spacing w:val="5"/>
        </w:rPr>
        <w:t>See Inpatient Treatment of CAP table below.</w:t>
      </w:r>
    </w:p>
    <w:p w14:paraId="32DE8289"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10:</w:t>
      </w:r>
      <w:r w:rsidRPr="005C2CEC">
        <w:rPr>
          <w:rFonts w:asciiTheme="minorBidi" w:hAnsiTheme="minorBidi"/>
          <w:spacing w:val="5"/>
        </w:rPr>
        <w:t xml:space="preserve"> In the inpatient setting, should patients with suspected aspiration pneumonia receive additional anaerobic coverage beyond standard empiric treatment for CAP?</w:t>
      </w:r>
    </w:p>
    <w:p w14:paraId="1D427F37" w14:textId="77777777" w:rsidR="0028312F" w:rsidRPr="005C2CEC" w:rsidRDefault="0028312F" w:rsidP="005C2CEC">
      <w:pPr>
        <w:numPr>
          <w:ilvl w:val="0"/>
          <w:numId w:val="17"/>
        </w:numPr>
        <w:spacing w:before="120" w:after="120"/>
        <w:rPr>
          <w:rFonts w:asciiTheme="minorBidi" w:hAnsiTheme="minorBidi"/>
          <w:spacing w:val="5"/>
        </w:rPr>
      </w:pPr>
      <w:r w:rsidRPr="005C2CEC">
        <w:rPr>
          <w:rFonts w:asciiTheme="minorBidi" w:hAnsiTheme="minorBidi"/>
          <w:spacing w:val="5"/>
        </w:rPr>
        <w:t>Not unless lung abscess or empyema is suspected</w:t>
      </w:r>
    </w:p>
    <w:p w14:paraId="1B17125C"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11:</w:t>
      </w:r>
      <w:r w:rsidRPr="005C2CEC">
        <w:rPr>
          <w:rFonts w:asciiTheme="minorBidi" w:hAnsiTheme="minorBidi"/>
          <w:spacing w:val="5"/>
        </w:rPr>
        <w:t xml:space="preserve"> In the inpatient setting, should adults with CAP and risk factors for MRSA or </w:t>
      </w:r>
      <w:r w:rsidRPr="005C2CEC">
        <w:rPr>
          <w:rStyle w:val="Emphasis"/>
          <w:rFonts w:asciiTheme="minorBidi" w:hAnsiTheme="minorBidi"/>
          <w:spacing w:val="5"/>
        </w:rPr>
        <w:t>P. aeruginosa</w:t>
      </w:r>
      <w:r w:rsidRPr="005C2CEC">
        <w:rPr>
          <w:rFonts w:asciiTheme="minorBidi" w:hAnsiTheme="minorBidi"/>
          <w:spacing w:val="5"/>
        </w:rPr>
        <w:t xml:space="preserve"> be treated with extended-spectrum antibiotic therapy instead of standard CAP regimens?</w:t>
      </w:r>
    </w:p>
    <w:p w14:paraId="5F2821CC" w14:textId="77777777" w:rsidR="0028312F" w:rsidRPr="005C2CEC" w:rsidRDefault="0028312F" w:rsidP="005C2CEC">
      <w:pPr>
        <w:numPr>
          <w:ilvl w:val="0"/>
          <w:numId w:val="18"/>
        </w:numPr>
        <w:spacing w:before="120" w:after="120"/>
        <w:rPr>
          <w:rFonts w:asciiTheme="minorBidi" w:hAnsiTheme="minorBidi"/>
          <w:spacing w:val="5"/>
        </w:rPr>
      </w:pPr>
      <w:r w:rsidRPr="005C2CEC">
        <w:rPr>
          <w:rFonts w:asciiTheme="minorBidi" w:hAnsiTheme="minorBidi"/>
          <w:spacing w:val="5"/>
        </w:rPr>
        <w:t>Healthcare associated pneumonia (HCAP) should be abandoned. Use of broader spectrum antibiotics for supposed HCAP did not improve outcomes. Only treat with extended spectrum antibiotics as above if locally validated risk factors for MRSA or pseudomonas are present.</w:t>
      </w:r>
    </w:p>
    <w:p w14:paraId="21A568CD"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12</w:t>
      </w:r>
      <w:r w:rsidRPr="005C2CEC">
        <w:rPr>
          <w:rFonts w:asciiTheme="minorBidi" w:hAnsiTheme="minorBidi"/>
          <w:spacing w:val="5"/>
        </w:rPr>
        <w:t>: In the inpatient setting, should adults with CAP be treated with corticosteroids?</w:t>
      </w:r>
    </w:p>
    <w:p w14:paraId="61B24435" w14:textId="77777777" w:rsidR="0028312F" w:rsidRPr="005C2CEC" w:rsidRDefault="0028312F" w:rsidP="005C2CEC">
      <w:pPr>
        <w:numPr>
          <w:ilvl w:val="0"/>
          <w:numId w:val="19"/>
        </w:numPr>
        <w:spacing w:before="120" w:after="120"/>
        <w:rPr>
          <w:rFonts w:asciiTheme="minorBidi" w:hAnsiTheme="minorBidi"/>
          <w:spacing w:val="5"/>
        </w:rPr>
      </w:pPr>
      <w:r w:rsidRPr="005C2CEC">
        <w:rPr>
          <w:rFonts w:asciiTheme="minorBidi" w:hAnsiTheme="minorBidi"/>
          <w:spacing w:val="5"/>
        </w:rPr>
        <w:t>Do not use steroids in non-severe, severe, or influenza PNA. The literature has been back and forth on this. Steroids probably don’t help.</w:t>
      </w:r>
    </w:p>
    <w:p w14:paraId="0EEF86E4"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lastRenderedPageBreak/>
        <w:t>Question 13</w:t>
      </w:r>
      <w:r w:rsidRPr="005C2CEC">
        <w:rPr>
          <w:rFonts w:asciiTheme="minorBidi" w:hAnsiTheme="minorBidi"/>
          <w:spacing w:val="5"/>
        </w:rPr>
        <w:t>: In adults with CAP who test positive for influenza, should the treatment regimen include antiviral therapy?</w:t>
      </w:r>
    </w:p>
    <w:p w14:paraId="16167FF2" w14:textId="77777777" w:rsidR="0028312F" w:rsidRPr="005C2CEC" w:rsidRDefault="0028312F" w:rsidP="005C2CEC">
      <w:pPr>
        <w:numPr>
          <w:ilvl w:val="0"/>
          <w:numId w:val="20"/>
        </w:numPr>
        <w:spacing w:before="120" w:after="120"/>
        <w:rPr>
          <w:rFonts w:asciiTheme="minorBidi" w:hAnsiTheme="minorBidi"/>
          <w:spacing w:val="5"/>
        </w:rPr>
      </w:pPr>
      <w:r w:rsidRPr="005C2CEC">
        <w:rPr>
          <w:rFonts w:asciiTheme="minorBidi" w:hAnsiTheme="minorBidi"/>
          <w:spacing w:val="5"/>
        </w:rPr>
        <w:t>Yes, oseltamivir should be used in outpatients or inpatients with CAP who test positive for influenza regardless of duration of illness.</w:t>
      </w:r>
    </w:p>
    <w:p w14:paraId="78371358"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14</w:t>
      </w:r>
      <w:r w:rsidRPr="005C2CEC">
        <w:rPr>
          <w:rFonts w:asciiTheme="minorBidi" w:hAnsiTheme="minorBidi"/>
          <w:spacing w:val="5"/>
        </w:rPr>
        <w:t>: In adults with CAP who test positive for influenza, should the treatment regimen include antibacterial therapy?</w:t>
      </w:r>
    </w:p>
    <w:p w14:paraId="73EE0C27" w14:textId="77777777" w:rsidR="0028312F" w:rsidRPr="005C2CEC" w:rsidRDefault="0028312F" w:rsidP="005C2CEC">
      <w:pPr>
        <w:numPr>
          <w:ilvl w:val="0"/>
          <w:numId w:val="21"/>
        </w:numPr>
        <w:spacing w:before="120" w:after="120"/>
        <w:rPr>
          <w:rFonts w:asciiTheme="minorBidi" w:hAnsiTheme="minorBidi"/>
          <w:spacing w:val="5"/>
        </w:rPr>
      </w:pPr>
      <w:r w:rsidRPr="005C2CEC">
        <w:rPr>
          <w:rFonts w:asciiTheme="minorBidi" w:hAnsiTheme="minorBidi"/>
          <w:spacing w:val="5"/>
        </w:rPr>
        <w:t>Yes, bacterial pneumonia may exist along with viral pneumonia.</w:t>
      </w:r>
    </w:p>
    <w:p w14:paraId="0E5537AC"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15</w:t>
      </w:r>
      <w:r w:rsidRPr="005C2CEC">
        <w:rPr>
          <w:rFonts w:asciiTheme="minorBidi" w:hAnsiTheme="minorBidi"/>
          <w:spacing w:val="5"/>
        </w:rPr>
        <w:t>: In outpatient and inpatient adults with CAP who are improving, what is the appropriate duration of antibiotic treatment?</w:t>
      </w:r>
    </w:p>
    <w:p w14:paraId="76456C91" w14:textId="77777777" w:rsidR="0028312F" w:rsidRPr="005C2CEC" w:rsidRDefault="0028312F" w:rsidP="005C2CEC">
      <w:pPr>
        <w:numPr>
          <w:ilvl w:val="0"/>
          <w:numId w:val="22"/>
        </w:numPr>
        <w:spacing w:before="120" w:after="120"/>
        <w:rPr>
          <w:rFonts w:asciiTheme="minorBidi" w:hAnsiTheme="minorBidi"/>
          <w:spacing w:val="5"/>
        </w:rPr>
      </w:pPr>
      <w:r w:rsidRPr="005C2CEC">
        <w:rPr>
          <w:rFonts w:asciiTheme="minorBidi" w:hAnsiTheme="minorBidi"/>
          <w:spacing w:val="5"/>
        </w:rPr>
        <w:t>Antibiotics should be continued until vitals stabilize, oral intake is good, mental status normal, and no less than 5 days.</w:t>
      </w:r>
    </w:p>
    <w:p w14:paraId="6062E186" w14:textId="77777777" w:rsidR="0028312F" w:rsidRPr="005C2CEC" w:rsidRDefault="0028312F" w:rsidP="005C2CEC">
      <w:pPr>
        <w:spacing w:before="100" w:beforeAutospacing="1" w:after="100" w:afterAutospacing="1"/>
        <w:rPr>
          <w:rFonts w:asciiTheme="minorBidi" w:hAnsiTheme="minorBidi"/>
          <w:spacing w:val="5"/>
        </w:rPr>
      </w:pPr>
      <w:r w:rsidRPr="005C2CEC">
        <w:rPr>
          <w:rStyle w:val="Emphasis"/>
          <w:rFonts w:asciiTheme="minorBidi" w:hAnsiTheme="minorBidi"/>
          <w:spacing w:val="5"/>
        </w:rPr>
        <w:t>Question 16:</w:t>
      </w:r>
      <w:r w:rsidRPr="005C2CEC">
        <w:rPr>
          <w:rFonts w:asciiTheme="minorBidi" w:hAnsiTheme="minorBidi"/>
          <w:spacing w:val="5"/>
        </w:rPr>
        <w:t xml:space="preserve"> In adults with CAP who are improving, should follow-up chest imaging be obtained?</w:t>
      </w:r>
    </w:p>
    <w:p w14:paraId="4C72AC6B" w14:textId="77777777" w:rsidR="0028312F" w:rsidRPr="005C2CEC" w:rsidRDefault="0028312F" w:rsidP="005C2CEC">
      <w:pPr>
        <w:numPr>
          <w:ilvl w:val="0"/>
          <w:numId w:val="23"/>
        </w:numPr>
        <w:spacing w:before="120" w:after="120"/>
        <w:rPr>
          <w:rFonts w:asciiTheme="minorBidi" w:hAnsiTheme="minorBidi"/>
          <w:spacing w:val="5"/>
        </w:rPr>
      </w:pPr>
      <w:r w:rsidRPr="005C2CEC">
        <w:rPr>
          <w:rFonts w:asciiTheme="minorBidi" w:hAnsiTheme="minorBidi"/>
          <w:spacing w:val="5"/>
        </w:rPr>
        <w:t>If improving within 5-7 days, there is no need.</w:t>
      </w:r>
    </w:p>
    <w:p w14:paraId="5F053D19" w14:textId="77777777" w:rsidR="0028312F" w:rsidRPr="005C2CEC" w:rsidRDefault="0028312F" w:rsidP="005C2CEC">
      <w:pPr>
        <w:rPr>
          <w:rFonts w:asciiTheme="minorBidi" w:hAnsiTheme="minorBidi"/>
          <w:color w:val="000000" w:themeColor="text1"/>
        </w:rPr>
      </w:pPr>
    </w:p>
    <w:p w14:paraId="223DDED5" w14:textId="34EA176C" w:rsidR="00EB4140" w:rsidRPr="005C2CEC" w:rsidRDefault="0028312F" w:rsidP="005C2CEC">
      <w:pPr>
        <w:rPr>
          <w:rFonts w:asciiTheme="minorBidi" w:hAnsiTheme="minorBidi"/>
        </w:rPr>
      </w:pPr>
      <w:r w:rsidRPr="005C2CEC">
        <w:rPr>
          <w:rFonts w:asciiTheme="minorBidi" w:hAnsiTheme="minorBidi"/>
          <w:noProof/>
        </w:rPr>
        <w:lastRenderedPageBreak/>
        <w:drawing>
          <wp:inline distT="0" distB="0" distL="0" distR="0" wp14:anchorId="4CE405BA" wp14:editId="6F684C60">
            <wp:extent cx="5324087" cy="4354830"/>
            <wp:effectExtent l="0" t="0" r="0" b="1270"/>
            <wp:docPr id="6" name="Picture 5" descr="A screenshot of a cell phone&#10;&#10;Description automatically generated">
              <a:extLst xmlns:a="http://schemas.openxmlformats.org/drawingml/2006/main">
                <a:ext uri="{FF2B5EF4-FFF2-40B4-BE49-F238E27FC236}">
                  <a16:creationId xmlns:a16="http://schemas.microsoft.com/office/drawing/2014/main" id="{2B85AB51-8185-0C49-926C-BD1BAA2A30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A screenshot of a cell phone&#10;&#10;Description automatically generated">
                      <a:extLst>
                        <a:ext uri="{FF2B5EF4-FFF2-40B4-BE49-F238E27FC236}">
                          <a16:creationId xmlns:a16="http://schemas.microsoft.com/office/drawing/2014/main" id="{2B85AB51-8185-0C49-926C-BD1BAA2A30EE}"/>
                        </a:ext>
                      </a:extLst>
                    </pic:cNvPr>
                    <pic:cNvPicPr>
                      <a:picLocks noChangeAspect="1"/>
                    </pic:cNvPicPr>
                  </pic:nvPicPr>
                  <pic:blipFill>
                    <a:blip r:embed="rId12"/>
                    <a:stretch>
                      <a:fillRect/>
                    </a:stretch>
                  </pic:blipFill>
                  <pic:spPr>
                    <a:xfrm>
                      <a:off x="0" y="0"/>
                      <a:ext cx="5327724" cy="4357805"/>
                    </a:xfrm>
                    <a:prstGeom prst="rect">
                      <a:avLst/>
                    </a:prstGeom>
                  </pic:spPr>
                </pic:pic>
              </a:graphicData>
            </a:graphic>
          </wp:inline>
        </w:drawing>
      </w:r>
    </w:p>
    <w:p w14:paraId="139147D4" w14:textId="2AED4C51" w:rsidR="0028312F" w:rsidRPr="0028312F" w:rsidRDefault="0028312F" w:rsidP="0028312F">
      <w:pPr>
        <w:rPr>
          <w:rFonts w:asciiTheme="minorBidi" w:hAnsiTheme="minorBidi"/>
        </w:rPr>
      </w:pPr>
      <w:r w:rsidRPr="0028312F">
        <w:rPr>
          <w:rFonts w:asciiTheme="minorBidi" w:hAnsiTheme="minorBidi"/>
          <w:noProof/>
        </w:rPr>
        <w:lastRenderedPageBreak/>
        <w:drawing>
          <wp:inline distT="0" distB="0" distL="0" distR="0" wp14:anchorId="5279EB87" wp14:editId="1D9E50CD">
            <wp:extent cx="5297529" cy="5269230"/>
            <wp:effectExtent l="0" t="0" r="0" b="127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19-12-14 at 10.53.14 PM.png"/>
                    <pic:cNvPicPr/>
                  </pic:nvPicPr>
                  <pic:blipFill>
                    <a:blip r:embed="rId13">
                      <a:extLst>
                        <a:ext uri="{28A0092B-C50C-407E-A947-70E740481C1C}">
                          <a14:useLocalDpi xmlns:a14="http://schemas.microsoft.com/office/drawing/2010/main" val="0"/>
                        </a:ext>
                      </a:extLst>
                    </a:blip>
                    <a:stretch>
                      <a:fillRect/>
                    </a:stretch>
                  </pic:blipFill>
                  <pic:spPr>
                    <a:xfrm>
                      <a:off x="0" y="0"/>
                      <a:ext cx="5306277" cy="5277931"/>
                    </a:xfrm>
                    <a:prstGeom prst="rect">
                      <a:avLst/>
                    </a:prstGeom>
                  </pic:spPr>
                </pic:pic>
              </a:graphicData>
            </a:graphic>
          </wp:inline>
        </w:drawing>
      </w:r>
    </w:p>
    <w:p w14:paraId="6C95827C" w14:textId="25150D8D" w:rsidR="0028312F" w:rsidRDefault="0028312F" w:rsidP="0028312F">
      <w:pPr>
        <w:rPr>
          <w:rFonts w:cstheme="minorHAnsi"/>
        </w:rPr>
      </w:pPr>
      <w:r>
        <w:rPr>
          <w:rFonts w:cstheme="minorHAnsi"/>
          <w:noProof/>
        </w:rPr>
        <w:lastRenderedPageBreak/>
        <w:drawing>
          <wp:inline distT="0" distB="0" distL="0" distR="0" wp14:anchorId="4EF75310" wp14:editId="59FAE50F">
            <wp:extent cx="5023357" cy="5417820"/>
            <wp:effectExtent l="0" t="0" r="6350" b="5080"/>
            <wp:docPr id="2" name="Picture 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12-14 at 10.53.28 PM.png"/>
                    <pic:cNvPicPr/>
                  </pic:nvPicPr>
                  <pic:blipFill>
                    <a:blip r:embed="rId14">
                      <a:extLst>
                        <a:ext uri="{28A0092B-C50C-407E-A947-70E740481C1C}">
                          <a14:useLocalDpi xmlns:a14="http://schemas.microsoft.com/office/drawing/2010/main" val="0"/>
                        </a:ext>
                      </a:extLst>
                    </a:blip>
                    <a:stretch>
                      <a:fillRect/>
                    </a:stretch>
                  </pic:blipFill>
                  <pic:spPr>
                    <a:xfrm>
                      <a:off x="0" y="0"/>
                      <a:ext cx="5040192" cy="5435977"/>
                    </a:xfrm>
                    <a:prstGeom prst="rect">
                      <a:avLst/>
                    </a:prstGeom>
                  </pic:spPr>
                </pic:pic>
              </a:graphicData>
            </a:graphic>
          </wp:inline>
        </w:drawing>
      </w:r>
    </w:p>
    <w:p w14:paraId="33B5ACA6" w14:textId="1305CE70" w:rsidR="0028312F" w:rsidRPr="00BF5EDB" w:rsidRDefault="0028312F" w:rsidP="0028312F">
      <w:pPr>
        <w:rPr>
          <w:rFonts w:cstheme="minorHAnsi"/>
        </w:rPr>
      </w:pPr>
      <w:r>
        <w:rPr>
          <w:rFonts w:cstheme="minorHAnsi"/>
          <w:noProof/>
        </w:rPr>
        <w:drawing>
          <wp:inline distT="0" distB="0" distL="0" distR="0" wp14:anchorId="60CD6AAA" wp14:editId="33865693">
            <wp:extent cx="5040630" cy="2203122"/>
            <wp:effectExtent l="0" t="0" r="1270" b="0"/>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12-14 at 10.53.34 PM.png"/>
                    <pic:cNvPicPr/>
                  </pic:nvPicPr>
                  <pic:blipFill>
                    <a:blip r:embed="rId15">
                      <a:extLst>
                        <a:ext uri="{28A0092B-C50C-407E-A947-70E740481C1C}">
                          <a14:useLocalDpi xmlns:a14="http://schemas.microsoft.com/office/drawing/2010/main" val="0"/>
                        </a:ext>
                      </a:extLst>
                    </a:blip>
                    <a:stretch>
                      <a:fillRect/>
                    </a:stretch>
                  </pic:blipFill>
                  <pic:spPr>
                    <a:xfrm>
                      <a:off x="0" y="0"/>
                      <a:ext cx="5047001" cy="2205906"/>
                    </a:xfrm>
                    <a:prstGeom prst="rect">
                      <a:avLst/>
                    </a:prstGeom>
                  </pic:spPr>
                </pic:pic>
              </a:graphicData>
            </a:graphic>
          </wp:inline>
        </w:drawing>
      </w:r>
    </w:p>
    <w:sectPr w:rsidR="0028312F" w:rsidRPr="00BF5EDB" w:rsidSect="00121905">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Open Sans">
    <w:altName w:val="Cambria"/>
    <w:panose1 w:val="020B0604020202020204"/>
    <w:charset w:val="00"/>
    <w:family w:val="roman"/>
    <w:notTrueType/>
    <w:pitch w:val="default"/>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77057"/>
    <w:multiLevelType w:val="multilevel"/>
    <w:tmpl w:val="28582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82FE4"/>
    <w:multiLevelType w:val="multilevel"/>
    <w:tmpl w:val="DA3A8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447E17"/>
    <w:multiLevelType w:val="multilevel"/>
    <w:tmpl w:val="F3D0FD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FE33D2F"/>
    <w:multiLevelType w:val="multilevel"/>
    <w:tmpl w:val="092AF90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15EF21DA"/>
    <w:multiLevelType w:val="multilevel"/>
    <w:tmpl w:val="C87A9C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17AB2B73"/>
    <w:multiLevelType w:val="multilevel"/>
    <w:tmpl w:val="2D0446F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8D83C8E"/>
    <w:multiLevelType w:val="multilevel"/>
    <w:tmpl w:val="B3ECD29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 w15:restartNumberingAfterBreak="0">
    <w:nsid w:val="22DE65F6"/>
    <w:multiLevelType w:val="multilevel"/>
    <w:tmpl w:val="AFCEE2E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2E925D6F"/>
    <w:multiLevelType w:val="multilevel"/>
    <w:tmpl w:val="88046CF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3C706CB"/>
    <w:multiLevelType w:val="multilevel"/>
    <w:tmpl w:val="AA32EBE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35DA2987"/>
    <w:multiLevelType w:val="hybridMultilevel"/>
    <w:tmpl w:val="CF72D65A"/>
    <w:lvl w:ilvl="0" w:tplc="C848EDA4">
      <w:start w:val="1"/>
      <w:numFmt w:val="bullet"/>
      <w:lvlText w:val="•"/>
      <w:lvlJc w:val="left"/>
      <w:pPr>
        <w:tabs>
          <w:tab w:val="num" w:pos="720"/>
        </w:tabs>
        <w:ind w:left="720" w:hanging="360"/>
      </w:pPr>
      <w:rPr>
        <w:rFonts w:ascii="Arial" w:hAnsi="Arial" w:hint="default"/>
      </w:rPr>
    </w:lvl>
    <w:lvl w:ilvl="1" w:tplc="3796C962" w:tentative="1">
      <w:start w:val="1"/>
      <w:numFmt w:val="bullet"/>
      <w:lvlText w:val="•"/>
      <w:lvlJc w:val="left"/>
      <w:pPr>
        <w:tabs>
          <w:tab w:val="num" w:pos="1440"/>
        </w:tabs>
        <w:ind w:left="1440" w:hanging="360"/>
      </w:pPr>
      <w:rPr>
        <w:rFonts w:ascii="Arial" w:hAnsi="Arial" w:hint="default"/>
      </w:rPr>
    </w:lvl>
    <w:lvl w:ilvl="2" w:tplc="6D2A3D7C" w:tentative="1">
      <w:start w:val="1"/>
      <w:numFmt w:val="bullet"/>
      <w:lvlText w:val="•"/>
      <w:lvlJc w:val="left"/>
      <w:pPr>
        <w:tabs>
          <w:tab w:val="num" w:pos="2160"/>
        </w:tabs>
        <w:ind w:left="2160" w:hanging="360"/>
      </w:pPr>
      <w:rPr>
        <w:rFonts w:ascii="Arial" w:hAnsi="Arial" w:hint="default"/>
      </w:rPr>
    </w:lvl>
    <w:lvl w:ilvl="3" w:tplc="44D86CD2" w:tentative="1">
      <w:start w:val="1"/>
      <w:numFmt w:val="bullet"/>
      <w:lvlText w:val="•"/>
      <w:lvlJc w:val="left"/>
      <w:pPr>
        <w:tabs>
          <w:tab w:val="num" w:pos="2880"/>
        </w:tabs>
        <w:ind w:left="2880" w:hanging="360"/>
      </w:pPr>
      <w:rPr>
        <w:rFonts w:ascii="Arial" w:hAnsi="Arial" w:hint="default"/>
      </w:rPr>
    </w:lvl>
    <w:lvl w:ilvl="4" w:tplc="533CB20C" w:tentative="1">
      <w:start w:val="1"/>
      <w:numFmt w:val="bullet"/>
      <w:lvlText w:val="•"/>
      <w:lvlJc w:val="left"/>
      <w:pPr>
        <w:tabs>
          <w:tab w:val="num" w:pos="3600"/>
        </w:tabs>
        <w:ind w:left="3600" w:hanging="360"/>
      </w:pPr>
      <w:rPr>
        <w:rFonts w:ascii="Arial" w:hAnsi="Arial" w:hint="default"/>
      </w:rPr>
    </w:lvl>
    <w:lvl w:ilvl="5" w:tplc="F30CD354" w:tentative="1">
      <w:start w:val="1"/>
      <w:numFmt w:val="bullet"/>
      <w:lvlText w:val="•"/>
      <w:lvlJc w:val="left"/>
      <w:pPr>
        <w:tabs>
          <w:tab w:val="num" w:pos="4320"/>
        </w:tabs>
        <w:ind w:left="4320" w:hanging="360"/>
      </w:pPr>
      <w:rPr>
        <w:rFonts w:ascii="Arial" w:hAnsi="Arial" w:hint="default"/>
      </w:rPr>
    </w:lvl>
    <w:lvl w:ilvl="6" w:tplc="C1C40F92" w:tentative="1">
      <w:start w:val="1"/>
      <w:numFmt w:val="bullet"/>
      <w:lvlText w:val="•"/>
      <w:lvlJc w:val="left"/>
      <w:pPr>
        <w:tabs>
          <w:tab w:val="num" w:pos="5040"/>
        </w:tabs>
        <w:ind w:left="5040" w:hanging="360"/>
      </w:pPr>
      <w:rPr>
        <w:rFonts w:ascii="Arial" w:hAnsi="Arial" w:hint="default"/>
      </w:rPr>
    </w:lvl>
    <w:lvl w:ilvl="7" w:tplc="CDEC6F1A" w:tentative="1">
      <w:start w:val="1"/>
      <w:numFmt w:val="bullet"/>
      <w:lvlText w:val="•"/>
      <w:lvlJc w:val="left"/>
      <w:pPr>
        <w:tabs>
          <w:tab w:val="num" w:pos="5760"/>
        </w:tabs>
        <w:ind w:left="5760" w:hanging="360"/>
      </w:pPr>
      <w:rPr>
        <w:rFonts w:ascii="Arial" w:hAnsi="Arial" w:hint="default"/>
      </w:rPr>
    </w:lvl>
    <w:lvl w:ilvl="8" w:tplc="B4E2DEBA"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10E0414"/>
    <w:multiLevelType w:val="hybridMultilevel"/>
    <w:tmpl w:val="24D69356"/>
    <w:lvl w:ilvl="0" w:tplc="B59CC4B0">
      <w:start w:val="1"/>
      <w:numFmt w:val="bullet"/>
      <w:lvlText w:val="•"/>
      <w:lvlJc w:val="left"/>
      <w:pPr>
        <w:tabs>
          <w:tab w:val="num" w:pos="720"/>
        </w:tabs>
        <w:ind w:left="720" w:hanging="360"/>
      </w:pPr>
      <w:rPr>
        <w:rFonts w:ascii="Arial" w:hAnsi="Arial" w:hint="default"/>
      </w:rPr>
    </w:lvl>
    <w:lvl w:ilvl="1" w:tplc="4C945260" w:tentative="1">
      <w:start w:val="1"/>
      <w:numFmt w:val="bullet"/>
      <w:lvlText w:val="•"/>
      <w:lvlJc w:val="left"/>
      <w:pPr>
        <w:tabs>
          <w:tab w:val="num" w:pos="1440"/>
        </w:tabs>
        <w:ind w:left="1440" w:hanging="360"/>
      </w:pPr>
      <w:rPr>
        <w:rFonts w:ascii="Arial" w:hAnsi="Arial" w:hint="default"/>
      </w:rPr>
    </w:lvl>
    <w:lvl w:ilvl="2" w:tplc="C106AD2A" w:tentative="1">
      <w:start w:val="1"/>
      <w:numFmt w:val="bullet"/>
      <w:lvlText w:val="•"/>
      <w:lvlJc w:val="left"/>
      <w:pPr>
        <w:tabs>
          <w:tab w:val="num" w:pos="2160"/>
        </w:tabs>
        <w:ind w:left="2160" w:hanging="360"/>
      </w:pPr>
      <w:rPr>
        <w:rFonts w:ascii="Arial" w:hAnsi="Arial" w:hint="default"/>
      </w:rPr>
    </w:lvl>
    <w:lvl w:ilvl="3" w:tplc="C1DE122C" w:tentative="1">
      <w:start w:val="1"/>
      <w:numFmt w:val="bullet"/>
      <w:lvlText w:val="•"/>
      <w:lvlJc w:val="left"/>
      <w:pPr>
        <w:tabs>
          <w:tab w:val="num" w:pos="2880"/>
        </w:tabs>
        <w:ind w:left="2880" w:hanging="360"/>
      </w:pPr>
      <w:rPr>
        <w:rFonts w:ascii="Arial" w:hAnsi="Arial" w:hint="default"/>
      </w:rPr>
    </w:lvl>
    <w:lvl w:ilvl="4" w:tplc="934E81EA" w:tentative="1">
      <w:start w:val="1"/>
      <w:numFmt w:val="bullet"/>
      <w:lvlText w:val="•"/>
      <w:lvlJc w:val="left"/>
      <w:pPr>
        <w:tabs>
          <w:tab w:val="num" w:pos="3600"/>
        </w:tabs>
        <w:ind w:left="3600" w:hanging="360"/>
      </w:pPr>
      <w:rPr>
        <w:rFonts w:ascii="Arial" w:hAnsi="Arial" w:hint="default"/>
      </w:rPr>
    </w:lvl>
    <w:lvl w:ilvl="5" w:tplc="5EA0B8E0" w:tentative="1">
      <w:start w:val="1"/>
      <w:numFmt w:val="bullet"/>
      <w:lvlText w:val="•"/>
      <w:lvlJc w:val="left"/>
      <w:pPr>
        <w:tabs>
          <w:tab w:val="num" w:pos="4320"/>
        </w:tabs>
        <w:ind w:left="4320" w:hanging="360"/>
      </w:pPr>
      <w:rPr>
        <w:rFonts w:ascii="Arial" w:hAnsi="Arial" w:hint="default"/>
      </w:rPr>
    </w:lvl>
    <w:lvl w:ilvl="6" w:tplc="DDE65B98" w:tentative="1">
      <w:start w:val="1"/>
      <w:numFmt w:val="bullet"/>
      <w:lvlText w:val="•"/>
      <w:lvlJc w:val="left"/>
      <w:pPr>
        <w:tabs>
          <w:tab w:val="num" w:pos="5040"/>
        </w:tabs>
        <w:ind w:left="5040" w:hanging="360"/>
      </w:pPr>
      <w:rPr>
        <w:rFonts w:ascii="Arial" w:hAnsi="Arial" w:hint="default"/>
      </w:rPr>
    </w:lvl>
    <w:lvl w:ilvl="7" w:tplc="33CC919C" w:tentative="1">
      <w:start w:val="1"/>
      <w:numFmt w:val="bullet"/>
      <w:lvlText w:val="•"/>
      <w:lvlJc w:val="left"/>
      <w:pPr>
        <w:tabs>
          <w:tab w:val="num" w:pos="5760"/>
        </w:tabs>
        <w:ind w:left="5760" w:hanging="360"/>
      </w:pPr>
      <w:rPr>
        <w:rFonts w:ascii="Arial" w:hAnsi="Arial" w:hint="default"/>
      </w:rPr>
    </w:lvl>
    <w:lvl w:ilvl="8" w:tplc="9D207D4E"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8D851E6"/>
    <w:multiLevelType w:val="multilevel"/>
    <w:tmpl w:val="50AAFF6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C2B4CCF"/>
    <w:multiLevelType w:val="multilevel"/>
    <w:tmpl w:val="BB74EAE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4E780CD5"/>
    <w:multiLevelType w:val="multilevel"/>
    <w:tmpl w:val="FA3EE90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51403D71"/>
    <w:multiLevelType w:val="multilevel"/>
    <w:tmpl w:val="AC5CC89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6" w15:restartNumberingAfterBreak="0">
    <w:nsid w:val="52AC49AD"/>
    <w:multiLevelType w:val="multilevel"/>
    <w:tmpl w:val="85A239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3B457C9"/>
    <w:multiLevelType w:val="multilevel"/>
    <w:tmpl w:val="F34EABA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8" w15:restartNumberingAfterBreak="0">
    <w:nsid w:val="58B8412A"/>
    <w:multiLevelType w:val="hybridMultilevel"/>
    <w:tmpl w:val="F63E4F90"/>
    <w:lvl w:ilvl="0" w:tplc="46A0D8D4">
      <w:start w:val="5"/>
      <w:numFmt w:val="bullet"/>
      <w:lvlText w:val="-"/>
      <w:lvlJc w:val="left"/>
      <w:pPr>
        <w:ind w:left="360" w:hanging="360"/>
      </w:pPr>
      <w:rPr>
        <w:rFonts w:ascii="Open Sans" w:eastAsiaTheme="minorEastAsia" w:hAnsi="Open Sans"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B533849"/>
    <w:multiLevelType w:val="multilevel"/>
    <w:tmpl w:val="00365C3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6A57531A"/>
    <w:multiLevelType w:val="multilevel"/>
    <w:tmpl w:val="9C0E484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6E0200A3"/>
    <w:multiLevelType w:val="hybridMultilevel"/>
    <w:tmpl w:val="3A368780"/>
    <w:lvl w:ilvl="0" w:tplc="BED6AC5E">
      <w:start w:val="1"/>
      <w:numFmt w:val="bullet"/>
      <w:lvlText w:val="•"/>
      <w:lvlJc w:val="left"/>
      <w:pPr>
        <w:tabs>
          <w:tab w:val="num" w:pos="720"/>
        </w:tabs>
        <w:ind w:left="720" w:hanging="360"/>
      </w:pPr>
      <w:rPr>
        <w:rFonts w:ascii="Arial" w:hAnsi="Arial" w:hint="default"/>
      </w:rPr>
    </w:lvl>
    <w:lvl w:ilvl="1" w:tplc="15524266" w:tentative="1">
      <w:start w:val="1"/>
      <w:numFmt w:val="bullet"/>
      <w:lvlText w:val="•"/>
      <w:lvlJc w:val="left"/>
      <w:pPr>
        <w:tabs>
          <w:tab w:val="num" w:pos="1440"/>
        </w:tabs>
        <w:ind w:left="1440" w:hanging="360"/>
      </w:pPr>
      <w:rPr>
        <w:rFonts w:ascii="Arial" w:hAnsi="Arial" w:hint="default"/>
      </w:rPr>
    </w:lvl>
    <w:lvl w:ilvl="2" w:tplc="990275FC" w:tentative="1">
      <w:start w:val="1"/>
      <w:numFmt w:val="bullet"/>
      <w:lvlText w:val="•"/>
      <w:lvlJc w:val="left"/>
      <w:pPr>
        <w:tabs>
          <w:tab w:val="num" w:pos="2160"/>
        </w:tabs>
        <w:ind w:left="2160" w:hanging="360"/>
      </w:pPr>
      <w:rPr>
        <w:rFonts w:ascii="Arial" w:hAnsi="Arial" w:hint="default"/>
      </w:rPr>
    </w:lvl>
    <w:lvl w:ilvl="3" w:tplc="BCC2F8B2" w:tentative="1">
      <w:start w:val="1"/>
      <w:numFmt w:val="bullet"/>
      <w:lvlText w:val="•"/>
      <w:lvlJc w:val="left"/>
      <w:pPr>
        <w:tabs>
          <w:tab w:val="num" w:pos="2880"/>
        </w:tabs>
        <w:ind w:left="2880" w:hanging="360"/>
      </w:pPr>
      <w:rPr>
        <w:rFonts w:ascii="Arial" w:hAnsi="Arial" w:hint="default"/>
      </w:rPr>
    </w:lvl>
    <w:lvl w:ilvl="4" w:tplc="46941718" w:tentative="1">
      <w:start w:val="1"/>
      <w:numFmt w:val="bullet"/>
      <w:lvlText w:val="•"/>
      <w:lvlJc w:val="left"/>
      <w:pPr>
        <w:tabs>
          <w:tab w:val="num" w:pos="3600"/>
        </w:tabs>
        <w:ind w:left="3600" w:hanging="360"/>
      </w:pPr>
      <w:rPr>
        <w:rFonts w:ascii="Arial" w:hAnsi="Arial" w:hint="default"/>
      </w:rPr>
    </w:lvl>
    <w:lvl w:ilvl="5" w:tplc="63260778" w:tentative="1">
      <w:start w:val="1"/>
      <w:numFmt w:val="bullet"/>
      <w:lvlText w:val="•"/>
      <w:lvlJc w:val="left"/>
      <w:pPr>
        <w:tabs>
          <w:tab w:val="num" w:pos="4320"/>
        </w:tabs>
        <w:ind w:left="4320" w:hanging="360"/>
      </w:pPr>
      <w:rPr>
        <w:rFonts w:ascii="Arial" w:hAnsi="Arial" w:hint="default"/>
      </w:rPr>
    </w:lvl>
    <w:lvl w:ilvl="6" w:tplc="CDB4EAA8" w:tentative="1">
      <w:start w:val="1"/>
      <w:numFmt w:val="bullet"/>
      <w:lvlText w:val="•"/>
      <w:lvlJc w:val="left"/>
      <w:pPr>
        <w:tabs>
          <w:tab w:val="num" w:pos="5040"/>
        </w:tabs>
        <w:ind w:left="5040" w:hanging="360"/>
      </w:pPr>
      <w:rPr>
        <w:rFonts w:ascii="Arial" w:hAnsi="Arial" w:hint="default"/>
      </w:rPr>
    </w:lvl>
    <w:lvl w:ilvl="7" w:tplc="C59A6068" w:tentative="1">
      <w:start w:val="1"/>
      <w:numFmt w:val="bullet"/>
      <w:lvlText w:val="•"/>
      <w:lvlJc w:val="left"/>
      <w:pPr>
        <w:tabs>
          <w:tab w:val="num" w:pos="5760"/>
        </w:tabs>
        <w:ind w:left="5760" w:hanging="360"/>
      </w:pPr>
      <w:rPr>
        <w:rFonts w:ascii="Arial" w:hAnsi="Arial" w:hint="default"/>
      </w:rPr>
    </w:lvl>
    <w:lvl w:ilvl="8" w:tplc="CA62C916"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3880914"/>
    <w:multiLevelType w:val="hybridMultilevel"/>
    <w:tmpl w:val="FF226458"/>
    <w:lvl w:ilvl="0" w:tplc="DD6E5786">
      <w:start w:val="1"/>
      <w:numFmt w:val="bullet"/>
      <w:lvlText w:val="•"/>
      <w:lvlJc w:val="left"/>
      <w:pPr>
        <w:tabs>
          <w:tab w:val="num" w:pos="720"/>
        </w:tabs>
        <w:ind w:left="720" w:hanging="360"/>
      </w:pPr>
      <w:rPr>
        <w:rFonts w:ascii="Arial" w:hAnsi="Arial" w:hint="default"/>
      </w:rPr>
    </w:lvl>
    <w:lvl w:ilvl="1" w:tplc="19CC234E" w:tentative="1">
      <w:start w:val="1"/>
      <w:numFmt w:val="bullet"/>
      <w:lvlText w:val="•"/>
      <w:lvlJc w:val="left"/>
      <w:pPr>
        <w:tabs>
          <w:tab w:val="num" w:pos="1440"/>
        </w:tabs>
        <w:ind w:left="1440" w:hanging="360"/>
      </w:pPr>
      <w:rPr>
        <w:rFonts w:ascii="Arial" w:hAnsi="Arial" w:hint="default"/>
      </w:rPr>
    </w:lvl>
    <w:lvl w:ilvl="2" w:tplc="DF58E5BE" w:tentative="1">
      <w:start w:val="1"/>
      <w:numFmt w:val="bullet"/>
      <w:lvlText w:val="•"/>
      <w:lvlJc w:val="left"/>
      <w:pPr>
        <w:tabs>
          <w:tab w:val="num" w:pos="2160"/>
        </w:tabs>
        <w:ind w:left="2160" w:hanging="360"/>
      </w:pPr>
      <w:rPr>
        <w:rFonts w:ascii="Arial" w:hAnsi="Arial" w:hint="default"/>
      </w:rPr>
    </w:lvl>
    <w:lvl w:ilvl="3" w:tplc="57F0E3DA" w:tentative="1">
      <w:start w:val="1"/>
      <w:numFmt w:val="bullet"/>
      <w:lvlText w:val="•"/>
      <w:lvlJc w:val="left"/>
      <w:pPr>
        <w:tabs>
          <w:tab w:val="num" w:pos="2880"/>
        </w:tabs>
        <w:ind w:left="2880" w:hanging="360"/>
      </w:pPr>
      <w:rPr>
        <w:rFonts w:ascii="Arial" w:hAnsi="Arial" w:hint="default"/>
      </w:rPr>
    </w:lvl>
    <w:lvl w:ilvl="4" w:tplc="AEE6251C" w:tentative="1">
      <w:start w:val="1"/>
      <w:numFmt w:val="bullet"/>
      <w:lvlText w:val="•"/>
      <w:lvlJc w:val="left"/>
      <w:pPr>
        <w:tabs>
          <w:tab w:val="num" w:pos="3600"/>
        </w:tabs>
        <w:ind w:left="3600" w:hanging="360"/>
      </w:pPr>
      <w:rPr>
        <w:rFonts w:ascii="Arial" w:hAnsi="Arial" w:hint="default"/>
      </w:rPr>
    </w:lvl>
    <w:lvl w:ilvl="5" w:tplc="07EADF84" w:tentative="1">
      <w:start w:val="1"/>
      <w:numFmt w:val="bullet"/>
      <w:lvlText w:val="•"/>
      <w:lvlJc w:val="left"/>
      <w:pPr>
        <w:tabs>
          <w:tab w:val="num" w:pos="4320"/>
        </w:tabs>
        <w:ind w:left="4320" w:hanging="360"/>
      </w:pPr>
      <w:rPr>
        <w:rFonts w:ascii="Arial" w:hAnsi="Arial" w:hint="default"/>
      </w:rPr>
    </w:lvl>
    <w:lvl w:ilvl="6" w:tplc="86DC05D2" w:tentative="1">
      <w:start w:val="1"/>
      <w:numFmt w:val="bullet"/>
      <w:lvlText w:val="•"/>
      <w:lvlJc w:val="left"/>
      <w:pPr>
        <w:tabs>
          <w:tab w:val="num" w:pos="5040"/>
        </w:tabs>
        <w:ind w:left="5040" w:hanging="360"/>
      </w:pPr>
      <w:rPr>
        <w:rFonts w:ascii="Arial" w:hAnsi="Arial" w:hint="default"/>
      </w:rPr>
    </w:lvl>
    <w:lvl w:ilvl="7" w:tplc="C6682860" w:tentative="1">
      <w:start w:val="1"/>
      <w:numFmt w:val="bullet"/>
      <w:lvlText w:val="•"/>
      <w:lvlJc w:val="left"/>
      <w:pPr>
        <w:tabs>
          <w:tab w:val="num" w:pos="5760"/>
        </w:tabs>
        <w:ind w:left="5760" w:hanging="360"/>
      </w:pPr>
      <w:rPr>
        <w:rFonts w:ascii="Arial" w:hAnsi="Arial" w:hint="default"/>
      </w:rPr>
    </w:lvl>
    <w:lvl w:ilvl="8" w:tplc="6A3A939A"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40701F5"/>
    <w:multiLevelType w:val="multilevel"/>
    <w:tmpl w:val="707CD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0"/>
  </w:num>
  <w:num w:numId="3">
    <w:abstractNumId w:val="21"/>
  </w:num>
  <w:num w:numId="4">
    <w:abstractNumId w:val="22"/>
  </w:num>
  <w:num w:numId="5">
    <w:abstractNumId w:val="23"/>
  </w:num>
  <w:num w:numId="6">
    <w:abstractNumId w:val="1"/>
  </w:num>
  <w:num w:numId="7">
    <w:abstractNumId w:val="18"/>
  </w:num>
  <w:num w:numId="8">
    <w:abstractNumId w:val="15"/>
  </w:num>
  <w:num w:numId="9">
    <w:abstractNumId w:val="14"/>
  </w:num>
  <w:num w:numId="10">
    <w:abstractNumId w:val="0"/>
  </w:num>
  <w:num w:numId="11">
    <w:abstractNumId w:val="8"/>
  </w:num>
  <w:num w:numId="12">
    <w:abstractNumId w:val="16"/>
  </w:num>
  <w:num w:numId="13">
    <w:abstractNumId w:val="17"/>
  </w:num>
  <w:num w:numId="14">
    <w:abstractNumId w:val="13"/>
  </w:num>
  <w:num w:numId="15">
    <w:abstractNumId w:val="19"/>
  </w:num>
  <w:num w:numId="16">
    <w:abstractNumId w:val="9"/>
  </w:num>
  <w:num w:numId="17">
    <w:abstractNumId w:val="3"/>
  </w:num>
  <w:num w:numId="18">
    <w:abstractNumId w:val="4"/>
  </w:num>
  <w:num w:numId="19">
    <w:abstractNumId w:val="20"/>
  </w:num>
  <w:num w:numId="20">
    <w:abstractNumId w:val="6"/>
  </w:num>
  <w:num w:numId="21">
    <w:abstractNumId w:val="12"/>
  </w:num>
  <w:num w:numId="22">
    <w:abstractNumId w:val="2"/>
  </w:num>
  <w:num w:numId="23">
    <w:abstractNumId w:val="7"/>
  </w:num>
  <w:num w:numId="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140"/>
    <w:rsid w:val="00035525"/>
    <w:rsid w:val="00054BEB"/>
    <w:rsid w:val="00097B68"/>
    <w:rsid w:val="000B4CFB"/>
    <w:rsid w:val="00121905"/>
    <w:rsid w:val="00122C22"/>
    <w:rsid w:val="00161F73"/>
    <w:rsid w:val="00166989"/>
    <w:rsid w:val="0028312F"/>
    <w:rsid w:val="004106DC"/>
    <w:rsid w:val="0043280A"/>
    <w:rsid w:val="004926FC"/>
    <w:rsid w:val="004D651A"/>
    <w:rsid w:val="00596993"/>
    <w:rsid w:val="005C2CEC"/>
    <w:rsid w:val="005F650D"/>
    <w:rsid w:val="00631D8F"/>
    <w:rsid w:val="006C26D1"/>
    <w:rsid w:val="007753C3"/>
    <w:rsid w:val="007833B1"/>
    <w:rsid w:val="0080313A"/>
    <w:rsid w:val="00827B37"/>
    <w:rsid w:val="008629B8"/>
    <w:rsid w:val="00866B46"/>
    <w:rsid w:val="008A26C3"/>
    <w:rsid w:val="008B1A16"/>
    <w:rsid w:val="008E2418"/>
    <w:rsid w:val="00944DC1"/>
    <w:rsid w:val="00946DFC"/>
    <w:rsid w:val="00AC011F"/>
    <w:rsid w:val="00AF7E65"/>
    <w:rsid w:val="00B74CB5"/>
    <w:rsid w:val="00B96C87"/>
    <w:rsid w:val="00B9765B"/>
    <w:rsid w:val="00BC5715"/>
    <w:rsid w:val="00BF5EDB"/>
    <w:rsid w:val="00C27A16"/>
    <w:rsid w:val="00CA610E"/>
    <w:rsid w:val="00CD2331"/>
    <w:rsid w:val="00CE771A"/>
    <w:rsid w:val="00D17D55"/>
    <w:rsid w:val="00D300BC"/>
    <w:rsid w:val="00D4297F"/>
    <w:rsid w:val="00DD0A17"/>
    <w:rsid w:val="00E146CA"/>
    <w:rsid w:val="00E5593F"/>
    <w:rsid w:val="00EB4140"/>
    <w:rsid w:val="00FA4696"/>
    <w:rsid w:val="00FC5453"/>
    <w:rsid w:val="00FE2B76"/>
    <w:rsid w:val="00FF00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771D5"/>
  <w14:defaultImageDpi w14:val="32767"/>
  <w15:chartTrackingRefBased/>
  <w15:docId w15:val="{D0D98649-C2B1-C742-BF53-995B59331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C011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AC011F"/>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AC011F"/>
    <w:pPr>
      <w:spacing w:before="100" w:beforeAutospacing="1" w:after="100" w:afterAutospacing="1"/>
      <w:outlineLvl w:val="3"/>
    </w:pPr>
    <w:rPr>
      <w:rFonts w:ascii="Times New Roman" w:eastAsia="Times New Roman" w:hAnsi="Times New Roman" w:cs="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4140"/>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EB4140"/>
    <w:pPr>
      <w:ind w:left="720"/>
      <w:contextualSpacing/>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AC011F"/>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AC011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AC011F"/>
    <w:rPr>
      <w:rFonts w:ascii="Times New Roman" w:eastAsia="Times New Roman" w:hAnsi="Times New Roman" w:cs="Times New Roman"/>
      <w:b/>
      <w:bCs/>
    </w:rPr>
  </w:style>
  <w:style w:type="character" w:styleId="Hyperlink">
    <w:name w:val="Hyperlink"/>
    <w:basedOn w:val="DefaultParagraphFont"/>
    <w:uiPriority w:val="99"/>
    <w:semiHidden/>
    <w:unhideWhenUsed/>
    <w:rsid w:val="00AC011F"/>
    <w:rPr>
      <w:color w:val="0000FF"/>
      <w:u w:val="single"/>
    </w:rPr>
  </w:style>
  <w:style w:type="character" w:customStyle="1" w:styleId="apple-converted-space">
    <w:name w:val="apple-converted-space"/>
    <w:basedOn w:val="DefaultParagraphFont"/>
    <w:rsid w:val="00AC011F"/>
  </w:style>
  <w:style w:type="character" w:customStyle="1" w:styleId="ui-ncbitoggler-master-text">
    <w:name w:val="ui-ncbitoggler-master-text"/>
    <w:basedOn w:val="DefaultParagraphFont"/>
    <w:rsid w:val="00AC011F"/>
  </w:style>
  <w:style w:type="paragraph" w:styleId="BalloonText">
    <w:name w:val="Balloon Text"/>
    <w:basedOn w:val="Normal"/>
    <w:link w:val="BalloonTextChar"/>
    <w:uiPriority w:val="99"/>
    <w:semiHidden/>
    <w:unhideWhenUsed/>
    <w:rsid w:val="00CE771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E771A"/>
    <w:rPr>
      <w:rFonts w:ascii="Times New Roman" w:hAnsi="Times New Roman" w:cs="Times New Roman"/>
      <w:sz w:val="18"/>
      <w:szCs w:val="18"/>
    </w:rPr>
  </w:style>
  <w:style w:type="character" w:styleId="Emphasis">
    <w:name w:val="Emphasis"/>
    <w:basedOn w:val="DefaultParagraphFont"/>
    <w:uiPriority w:val="20"/>
    <w:qFormat/>
    <w:rsid w:val="00944DC1"/>
    <w:rPr>
      <w:i/>
      <w:iCs/>
    </w:rPr>
  </w:style>
  <w:style w:type="character" w:styleId="FollowedHyperlink">
    <w:name w:val="FollowedHyperlink"/>
    <w:basedOn w:val="DefaultParagraphFont"/>
    <w:uiPriority w:val="99"/>
    <w:semiHidden/>
    <w:unhideWhenUsed/>
    <w:rsid w:val="00944DC1"/>
    <w:rPr>
      <w:color w:val="954F72" w:themeColor="followedHyperlink"/>
      <w:u w:val="single"/>
    </w:rPr>
  </w:style>
  <w:style w:type="character" w:styleId="Strong">
    <w:name w:val="Strong"/>
    <w:basedOn w:val="DefaultParagraphFont"/>
    <w:uiPriority w:val="22"/>
    <w:qFormat/>
    <w:rsid w:val="00944DC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4680">
      <w:bodyDiv w:val="1"/>
      <w:marLeft w:val="0"/>
      <w:marRight w:val="0"/>
      <w:marTop w:val="0"/>
      <w:marBottom w:val="0"/>
      <w:divBdr>
        <w:top w:val="none" w:sz="0" w:space="0" w:color="auto"/>
        <w:left w:val="none" w:sz="0" w:space="0" w:color="auto"/>
        <w:bottom w:val="none" w:sz="0" w:space="0" w:color="auto"/>
        <w:right w:val="none" w:sz="0" w:space="0" w:color="auto"/>
      </w:divBdr>
    </w:div>
    <w:div w:id="230895444">
      <w:bodyDiv w:val="1"/>
      <w:marLeft w:val="0"/>
      <w:marRight w:val="0"/>
      <w:marTop w:val="0"/>
      <w:marBottom w:val="0"/>
      <w:divBdr>
        <w:top w:val="none" w:sz="0" w:space="0" w:color="auto"/>
        <w:left w:val="none" w:sz="0" w:space="0" w:color="auto"/>
        <w:bottom w:val="none" w:sz="0" w:space="0" w:color="auto"/>
        <w:right w:val="none" w:sz="0" w:space="0" w:color="auto"/>
      </w:divBdr>
    </w:div>
    <w:div w:id="338386364">
      <w:bodyDiv w:val="1"/>
      <w:marLeft w:val="0"/>
      <w:marRight w:val="0"/>
      <w:marTop w:val="0"/>
      <w:marBottom w:val="0"/>
      <w:divBdr>
        <w:top w:val="none" w:sz="0" w:space="0" w:color="auto"/>
        <w:left w:val="none" w:sz="0" w:space="0" w:color="auto"/>
        <w:bottom w:val="none" w:sz="0" w:space="0" w:color="auto"/>
        <w:right w:val="none" w:sz="0" w:space="0" w:color="auto"/>
      </w:divBdr>
      <w:divsChild>
        <w:div w:id="1615097091">
          <w:marLeft w:val="0"/>
          <w:marRight w:val="0"/>
          <w:marTop w:val="0"/>
          <w:marBottom w:val="0"/>
          <w:divBdr>
            <w:top w:val="none" w:sz="0" w:space="0" w:color="auto"/>
            <w:left w:val="none" w:sz="0" w:space="0" w:color="auto"/>
            <w:bottom w:val="none" w:sz="0" w:space="0" w:color="auto"/>
            <w:right w:val="none" w:sz="0" w:space="0" w:color="auto"/>
          </w:divBdr>
        </w:div>
        <w:div w:id="1097291170">
          <w:marLeft w:val="0"/>
          <w:marRight w:val="0"/>
          <w:marTop w:val="0"/>
          <w:marBottom w:val="0"/>
          <w:divBdr>
            <w:top w:val="none" w:sz="0" w:space="0" w:color="auto"/>
            <w:left w:val="none" w:sz="0" w:space="0" w:color="auto"/>
            <w:bottom w:val="none" w:sz="0" w:space="0" w:color="auto"/>
            <w:right w:val="none" w:sz="0" w:space="0" w:color="auto"/>
          </w:divBdr>
        </w:div>
        <w:div w:id="1216047969">
          <w:marLeft w:val="0"/>
          <w:marRight w:val="0"/>
          <w:marTop w:val="0"/>
          <w:marBottom w:val="0"/>
          <w:divBdr>
            <w:top w:val="none" w:sz="0" w:space="0" w:color="auto"/>
            <w:left w:val="none" w:sz="0" w:space="0" w:color="auto"/>
            <w:bottom w:val="none" w:sz="0" w:space="0" w:color="auto"/>
            <w:right w:val="none" w:sz="0" w:space="0" w:color="auto"/>
          </w:divBdr>
          <w:divsChild>
            <w:div w:id="1107314578">
              <w:marLeft w:val="0"/>
              <w:marRight w:val="0"/>
              <w:marTop w:val="0"/>
              <w:marBottom w:val="0"/>
              <w:divBdr>
                <w:top w:val="none" w:sz="0" w:space="0" w:color="auto"/>
                <w:left w:val="none" w:sz="0" w:space="0" w:color="auto"/>
                <w:bottom w:val="none" w:sz="0" w:space="0" w:color="auto"/>
                <w:right w:val="none" w:sz="0" w:space="0" w:color="auto"/>
              </w:divBdr>
              <w:divsChild>
                <w:div w:id="963120120">
                  <w:marLeft w:val="0"/>
                  <w:marRight w:val="0"/>
                  <w:marTop w:val="288"/>
                  <w:marBottom w:val="100"/>
                  <w:divBdr>
                    <w:top w:val="none" w:sz="0" w:space="0" w:color="auto"/>
                    <w:left w:val="none" w:sz="0" w:space="0" w:color="auto"/>
                    <w:bottom w:val="none" w:sz="0" w:space="0" w:color="auto"/>
                    <w:right w:val="none" w:sz="0" w:space="0" w:color="auto"/>
                  </w:divBdr>
                  <w:divsChild>
                    <w:div w:id="147274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526947">
      <w:bodyDiv w:val="1"/>
      <w:marLeft w:val="0"/>
      <w:marRight w:val="0"/>
      <w:marTop w:val="0"/>
      <w:marBottom w:val="0"/>
      <w:divBdr>
        <w:top w:val="none" w:sz="0" w:space="0" w:color="auto"/>
        <w:left w:val="none" w:sz="0" w:space="0" w:color="auto"/>
        <w:bottom w:val="none" w:sz="0" w:space="0" w:color="auto"/>
        <w:right w:val="none" w:sz="0" w:space="0" w:color="auto"/>
      </w:divBdr>
    </w:div>
    <w:div w:id="405566892">
      <w:bodyDiv w:val="1"/>
      <w:marLeft w:val="0"/>
      <w:marRight w:val="0"/>
      <w:marTop w:val="0"/>
      <w:marBottom w:val="0"/>
      <w:divBdr>
        <w:top w:val="none" w:sz="0" w:space="0" w:color="auto"/>
        <w:left w:val="none" w:sz="0" w:space="0" w:color="auto"/>
        <w:bottom w:val="none" w:sz="0" w:space="0" w:color="auto"/>
        <w:right w:val="none" w:sz="0" w:space="0" w:color="auto"/>
      </w:divBdr>
    </w:div>
    <w:div w:id="408044682">
      <w:bodyDiv w:val="1"/>
      <w:marLeft w:val="0"/>
      <w:marRight w:val="0"/>
      <w:marTop w:val="0"/>
      <w:marBottom w:val="0"/>
      <w:divBdr>
        <w:top w:val="none" w:sz="0" w:space="0" w:color="auto"/>
        <w:left w:val="none" w:sz="0" w:space="0" w:color="auto"/>
        <w:bottom w:val="none" w:sz="0" w:space="0" w:color="auto"/>
        <w:right w:val="none" w:sz="0" w:space="0" w:color="auto"/>
      </w:divBdr>
    </w:div>
    <w:div w:id="426652730">
      <w:bodyDiv w:val="1"/>
      <w:marLeft w:val="0"/>
      <w:marRight w:val="0"/>
      <w:marTop w:val="0"/>
      <w:marBottom w:val="0"/>
      <w:divBdr>
        <w:top w:val="none" w:sz="0" w:space="0" w:color="auto"/>
        <w:left w:val="none" w:sz="0" w:space="0" w:color="auto"/>
        <w:bottom w:val="none" w:sz="0" w:space="0" w:color="auto"/>
        <w:right w:val="none" w:sz="0" w:space="0" w:color="auto"/>
      </w:divBdr>
    </w:div>
    <w:div w:id="489252268">
      <w:bodyDiv w:val="1"/>
      <w:marLeft w:val="0"/>
      <w:marRight w:val="0"/>
      <w:marTop w:val="0"/>
      <w:marBottom w:val="0"/>
      <w:divBdr>
        <w:top w:val="none" w:sz="0" w:space="0" w:color="auto"/>
        <w:left w:val="none" w:sz="0" w:space="0" w:color="auto"/>
        <w:bottom w:val="none" w:sz="0" w:space="0" w:color="auto"/>
        <w:right w:val="none" w:sz="0" w:space="0" w:color="auto"/>
      </w:divBdr>
      <w:divsChild>
        <w:div w:id="2038432489">
          <w:marLeft w:val="360"/>
          <w:marRight w:val="0"/>
          <w:marTop w:val="200"/>
          <w:marBottom w:val="0"/>
          <w:divBdr>
            <w:top w:val="none" w:sz="0" w:space="0" w:color="auto"/>
            <w:left w:val="none" w:sz="0" w:space="0" w:color="auto"/>
            <w:bottom w:val="none" w:sz="0" w:space="0" w:color="auto"/>
            <w:right w:val="none" w:sz="0" w:space="0" w:color="auto"/>
          </w:divBdr>
        </w:div>
      </w:divsChild>
    </w:div>
    <w:div w:id="499346026">
      <w:bodyDiv w:val="1"/>
      <w:marLeft w:val="0"/>
      <w:marRight w:val="0"/>
      <w:marTop w:val="0"/>
      <w:marBottom w:val="0"/>
      <w:divBdr>
        <w:top w:val="none" w:sz="0" w:space="0" w:color="auto"/>
        <w:left w:val="none" w:sz="0" w:space="0" w:color="auto"/>
        <w:bottom w:val="none" w:sz="0" w:space="0" w:color="auto"/>
        <w:right w:val="none" w:sz="0" w:space="0" w:color="auto"/>
      </w:divBdr>
    </w:div>
    <w:div w:id="569773182">
      <w:bodyDiv w:val="1"/>
      <w:marLeft w:val="0"/>
      <w:marRight w:val="0"/>
      <w:marTop w:val="0"/>
      <w:marBottom w:val="0"/>
      <w:divBdr>
        <w:top w:val="none" w:sz="0" w:space="0" w:color="auto"/>
        <w:left w:val="none" w:sz="0" w:space="0" w:color="auto"/>
        <w:bottom w:val="none" w:sz="0" w:space="0" w:color="auto"/>
        <w:right w:val="none" w:sz="0" w:space="0" w:color="auto"/>
      </w:divBdr>
    </w:div>
    <w:div w:id="719859605">
      <w:bodyDiv w:val="1"/>
      <w:marLeft w:val="0"/>
      <w:marRight w:val="0"/>
      <w:marTop w:val="0"/>
      <w:marBottom w:val="0"/>
      <w:divBdr>
        <w:top w:val="none" w:sz="0" w:space="0" w:color="auto"/>
        <w:left w:val="none" w:sz="0" w:space="0" w:color="auto"/>
        <w:bottom w:val="none" w:sz="0" w:space="0" w:color="auto"/>
        <w:right w:val="none" w:sz="0" w:space="0" w:color="auto"/>
      </w:divBdr>
    </w:div>
    <w:div w:id="728116131">
      <w:bodyDiv w:val="1"/>
      <w:marLeft w:val="0"/>
      <w:marRight w:val="0"/>
      <w:marTop w:val="0"/>
      <w:marBottom w:val="0"/>
      <w:divBdr>
        <w:top w:val="none" w:sz="0" w:space="0" w:color="auto"/>
        <w:left w:val="none" w:sz="0" w:space="0" w:color="auto"/>
        <w:bottom w:val="none" w:sz="0" w:space="0" w:color="auto"/>
        <w:right w:val="none" w:sz="0" w:space="0" w:color="auto"/>
      </w:divBdr>
      <w:divsChild>
        <w:div w:id="1444224086">
          <w:marLeft w:val="0"/>
          <w:marRight w:val="0"/>
          <w:marTop w:val="166"/>
          <w:marBottom w:val="166"/>
          <w:divBdr>
            <w:top w:val="none" w:sz="0" w:space="0" w:color="auto"/>
            <w:left w:val="none" w:sz="0" w:space="0" w:color="auto"/>
            <w:bottom w:val="none" w:sz="0" w:space="0" w:color="auto"/>
            <w:right w:val="none" w:sz="0" w:space="0" w:color="auto"/>
          </w:divBdr>
          <w:divsChild>
            <w:div w:id="14072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268705">
      <w:bodyDiv w:val="1"/>
      <w:marLeft w:val="0"/>
      <w:marRight w:val="0"/>
      <w:marTop w:val="0"/>
      <w:marBottom w:val="0"/>
      <w:divBdr>
        <w:top w:val="none" w:sz="0" w:space="0" w:color="auto"/>
        <w:left w:val="none" w:sz="0" w:space="0" w:color="auto"/>
        <w:bottom w:val="none" w:sz="0" w:space="0" w:color="auto"/>
        <w:right w:val="none" w:sz="0" w:space="0" w:color="auto"/>
      </w:divBdr>
    </w:div>
    <w:div w:id="759522006">
      <w:bodyDiv w:val="1"/>
      <w:marLeft w:val="0"/>
      <w:marRight w:val="0"/>
      <w:marTop w:val="0"/>
      <w:marBottom w:val="0"/>
      <w:divBdr>
        <w:top w:val="none" w:sz="0" w:space="0" w:color="auto"/>
        <w:left w:val="none" w:sz="0" w:space="0" w:color="auto"/>
        <w:bottom w:val="none" w:sz="0" w:space="0" w:color="auto"/>
        <w:right w:val="none" w:sz="0" w:space="0" w:color="auto"/>
      </w:divBdr>
    </w:div>
    <w:div w:id="820124960">
      <w:bodyDiv w:val="1"/>
      <w:marLeft w:val="0"/>
      <w:marRight w:val="0"/>
      <w:marTop w:val="0"/>
      <w:marBottom w:val="0"/>
      <w:divBdr>
        <w:top w:val="none" w:sz="0" w:space="0" w:color="auto"/>
        <w:left w:val="none" w:sz="0" w:space="0" w:color="auto"/>
        <w:bottom w:val="none" w:sz="0" w:space="0" w:color="auto"/>
        <w:right w:val="none" w:sz="0" w:space="0" w:color="auto"/>
      </w:divBdr>
      <w:divsChild>
        <w:div w:id="51583276">
          <w:marLeft w:val="360"/>
          <w:marRight w:val="0"/>
          <w:marTop w:val="200"/>
          <w:marBottom w:val="0"/>
          <w:divBdr>
            <w:top w:val="none" w:sz="0" w:space="0" w:color="auto"/>
            <w:left w:val="none" w:sz="0" w:space="0" w:color="auto"/>
            <w:bottom w:val="none" w:sz="0" w:space="0" w:color="auto"/>
            <w:right w:val="none" w:sz="0" w:space="0" w:color="auto"/>
          </w:divBdr>
        </w:div>
        <w:div w:id="1817453211">
          <w:marLeft w:val="360"/>
          <w:marRight w:val="0"/>
          <w:marTop w:val="200"/>
          <w:marBottom w:val="0"/>
          <w:divBdr>
            <w:top w:val="none" w:sz="0" w:space="0" w:color="auto"/>
            <w:left w:val="none" w:sz="0" w:space="0" w:color="auto"/>
            <w:bottom w:val="none" w:sz="0" w:space="0" w:color="auto"/>
            <w:right w:val="none" w:sz="0" w:space="0" w:color="auto"/>
          </w:divBdr>
        </w:div>
      </w:divsChild>
    </w:div>
    <w:div w:id="837311016">
      <w:bodyDiv w:val="1"/>
      <w:marLeft w:val="0"/>
      <w:marRight w:val="0"/>
      <w:marTop w:val="0"/>
      <w:marBottom w:val="0"/>
      <w:divBdr>
        <w:top w:val="none" w:sz="0" w:space="0" w:color="auto"/>
        <w:left w:val="none" w:sz="0" w:space="0" w:color="auto"/>
        <w:bottom w:val="none" w:sz="0" w:space="0" w:color="auto"/>
        <w:right w:val="none" w:sz="0" w:space="0" w:color="auto"/>
      </w:divBdr>
    </w:div>
    <w:div w:id="878476935">
      <w:bodyDiv w:val="1"/>
      <w:marLeft w:val="0"/>
      <w:marRight w:val="0"/>
      <w:marTop w:val="0"/>
      <w:marBottom w:val="0"/>
      <w:divBdr>
        <w:top w:val="none" w:sz="0" w:space="0" w:color="auto"/>
        <w:left w:val="none" w:sz="0" w:space="0" w:color="auto"/>
        <w:bottom w:val="none" w:sz="0" w:space="0" w:color="auto"/>
        <w:right w:val="none" w:sz="0" w:space="0" w:color="auto"/>
      </w:divBdr>
    </w:div>
    <w:div w:id="915096086">
      <w:bodyDiv w:val="1"/>
      <w:marLeft w:val="0"/>
      <w:marRight w:val="0"/>
      <w:marTop w:val="0"/>
      <w:marBottom w:val="0"/>
      <w:divBdr>
        <w:top w:val="none" w:sz="0" w:space="0" w:color="auto"/>
        <w:left w:val="none" w:sz="0" w:space="0" w:color="auto"/>
        <w:bottom w:val="none" w:sz="0" w:space="0" w:color="auto"/>
        <w:right w:val="none" w:sz="0" w:space="0" w:color="auto"/>
      </w:divBdr>
    </w:div>
    <w:div w:id="925378546">
      <w:bodyDiv w:val="1"/>
      <w:marLeft w:val="0"/>
      <w:marRight w:val="0"/>
      <w:marTop w:val="0"/>
      <w:marBottom w:val="0"/>
      <w:divBdr>
        <w:top w:val="none" w:sz="0" w:space="0" w:color="auto"/>
        <w:left w:val="none" w:sz="0" w:space="0" w:color="auto"/>
        <w:bottom w:val="none" w:sz="0" w:space="0" w:color="auto"/>
        <w:right w:val="none" w:sz="0" w:space="0" w:color="auto"/>
      </w:divBdr>
    </w:div>
    <w:div w:id="944658476">
      <w:bodyDiv w:val="1"/>
      <w:marLeft w:val="0"/>
      <w:marRight w:val="0"/>
      <w:marTop w:val="0"/>
      <w:marBottom w:val="0"/>
      <w:divBdr>
        <w:top w:val="none" w:sz="0" w:space="0" w:color="auto"/>
        <w:left w:val="none" w:sz="0" w:space="0" w:color="auto"/>
        <w:bottom w:val="none" w:sz="0" w:space="0" w:color="auto"/>
        <w:right w:val="none" w:sz="0" w:space="0" w:color="auto"/>
      </w:divBdr>
    </w:div>
    <w:div w:id="960300782">
      <w:bodyDiv w:val="1"/>
      <w:marLeft w:val="0"/>
      <w:marRight w:val="0"/>
      <w:marTop w:val="0"/>
      <w:marBottom w:val="0"/>
      <w:divBdr>
        <w:top w:val="none" w:sz="0" w:space="0" w:color="auto"/>
        <w:left w:val="none" w:sz="0" w:space="0" w:color="auto"/>
        <w:bottom w:val="none" w:sz="0" w:space="0" w:color="auto"/>
        <w:right w:val="none" w:sz="0" w:space="0" w:color="auto"/>
      </w:divBdr>
    </w:div>
    <w:div w:id="996031870">
      <w:bodyDiv w:val="1"/>
      <w:marLeft w:val="0"/>
      <w:marRight w:val="0"/>
      <w:marTop w:val="0"/>
      <w:marBottom w:val="0"/>
      <w:divBdr>
        <w:top w:val="none" w:sz="0" w:space="0" w:color="auto"/>
        <w:left w:val="none" w:sz="0" w:space="0" w:color="auto"/>
        <w:bottom w:val="none" w:sz="0" w:space="0" w:color="auto"/>
        <w:right w:val="none" w:sz="0" w:space="0" w:color="auto"/>
      </w:divBdr>
    </w:div>
    <w:div w:id="1003360199">
      <w:bodyDiv w:val="1"/>
      <w:marLeft w:val="0"/>
      <w:marRight w:val="0"/>
      <w:marTop w:val="0"/>
      <w:marBottom w:val="0"/>
      <w:divBdr>
        <w:top w:val="none" w:sz="0" w:space="0" w:color="auto"/>
        <w:left w:val="none" w:sz="0" w:space="0" w:color="auto"/>
        <w:bottom w:val="none" w:sz="0" w:space="0" w:color="auto"/>
        <w:right w:val="none" w:sz="0" w:space="0" w:color="auto"/>
      </w:divBdr>
    </w:div>
    <w:div w:id="1096906906">
      <w:bodyDiv w:val="1"/>
      <w:marLeft w:val="0"/>
      <w:marRight w:val="0"/>
      <w:marTop w:val="0"/>
      <w:marBottom w:val="0"/>
      <w:divBdr>
        <w:top w:val="none" w:sz="0" w:space="0" w:color="auto"/>
        <w:left w:val="none" w:sz="0" w:space="0" w:color="auto"/>
        <w:bottom w:val="none" w:sz="0" w:space="0" w:color="auto"/>
        <w:right w:val="none" w:sz="0" w:space="0" w:color="auto"/>
      </w:divBdr>
    </w:div>
    <w:div w:id="1173840987">
      <w:bodyDiv w:val="1"/>
      <w:marLeft w:val="0"/>
      <w:marRight w:val="0"/>
      <w:marTop w:val="0"/>
      <w:marBottom w:val="0"/>
      <w:divBdr>
        <w:top w:val="none" w:sz="0" w:space="0" w:color="auto"/>
        <w:left w:val="none" w:sz="0" w:space="0" w:color="auto"/>
        <w:bottom w:val="none" w:sz="0" w:space="0" w:color="auto"/>
        <w:right w:val="none" w:sz="0" w:space="0" w:color="auto"/>
      </w:divBdr>
    </w:div>
    <w:div w:id="1198470160">
      <w:bodyDiv w:val="1"/>
      <w:marLeft w:val="0"/>
      <w:marRight w:val="0"/>
      <w:marTop w:val="0"/>
      <w:marBottom w:val="0"/>
      <w:divBdr>
        <w:top w:val="none" w:sz="0" w:space="0" w:color="auto"/>
        <w:left w:val="none" w:sz="0" w:space="0" w:color="auto"/>
        <w:bottom w:val="none" w:sz="0" w:space="0" w:color="auto"/>
        <w:right w:val="none" w:sz="0" w:space="0" w:color="auto"/>
      </w:divBdr>
    </w:div>
    <w:div w:id="1220746529">
      <w:bodyDiv w:val="1"/>
      <w:marLeft w:val="0"/>
      <w:marRight w:val="0"/>
      <w:marTop w:val="0"/>
      <w:marBottom w:val="0"/>
      <w:divBdr>
        <w:top w:val="none" w:sz="0" w:space="0" w:color="auto"/>
        <w:left w:val="none" w:sz="0" w:space="0" w:color="auto"/>
        <w:bottom w:val="none" w:sz="0" w:space="0" w:color="auto"/>
        <w:right w:val="none" w:sz="0" w:space="0" w:color="auto"/>
      </w:divBdr>
    </w:div>
    <w:div w:id="1310476277">
      <w:bodyDiv w:val="1"/>
      <w:marLeft w:val="0"/>
      <w:marRight w:val="0"/>
      <w:marTop w:val="0"/>
      <w:marBottom w:val="0"/>
      <w:divBdr>
        <w:top w:val="none" w:sz="0" w:space="0" w:color="auto"/>
        <w:left w:val="none" w:sz="0" w:space="0" w:color="auto"/>
        <w:bottom w:val="none" w:sz="0" w:space="0" w:color="auto"/>
        <w:right w:val="none" w:sz="0" w:space="0" w:color="auto"/>
      </w:divBdr>
    </w:div>
    <w:div w:id="1317345955">
      <w:bodyDiv w:val="1"/>
      <w:marLeft w:val="0"/>
      <w:marRight w:val="0"/>
      <w:marTop w:val="0"/>
      <w:marBottom w:val="0"/>
      <w:divBdr>
        <w:top w:val="none" w:sz="0" w:space="0" w:color="auto"/>
        <w:left w:val="none" w:sz="0" w:space="0" w:color="auto"/>
        <w:bottom w:val="none" w:sz="0" w:space="0" w:color="auto"/>
        <w:right w:val="none" w:sz="0" w:space="0" w:color="auto"/>
      </w:divBdr>
      <w:divsChild>
        <w:div w:id="2009481359">
          <w:marLeft w:val="360"/>
          <w:marRight w:val="0"/>
          <w:marTop w:val="200"/>
          <w:marBottom w:val="0"/>
          <w:divBdr>
            <w:top w:val="none" w:sz="0" w:space="0" w:color="auto"/>
            <w:left w:val="none" w:sz="0" w:space="0" w:color="auto"/>
            <w:bottom w:val="none" w:sz="0" w:space="0" w:color="auto"/>
            <w:right w:val="none" w:sz="0" w:space="0" w:color="auto"/>
          </w:divBdr>
        </w:div>
      </w:divsChild>
    </w:div>
    <w:div w:id="1475878555">
      <w:bodyDiv w:val="1"/>
      <w:marLeft w:val="0"/>
      <w:marRight w:val="0"/>
      <w:marTop w:val="0"/>
      <w:marBottom w:val="0"/>
      <w:divBdr>
        <w:top w:val="none" w:sz="0" w:space="0" w:color="auto"/>
        <w:left w:val="none" w:sz="0" w:space="0" w:color="auto"/>
        <w:bottom w:val="none" w:sz="0" w:space="0" w:color="auto"/>
        <w:right w:val="none" w:sz="0" w:space="0" w:color="auto"/>
      </w:divBdr>
    </w:div>
    <w:div w:id="1493259006">
      <w:bodyDiv w:val="1"/>
      <w:marLeft w:val="0"/>
      <w:marRight w:val="0"/>
      <w:marTop w:val="0"/>
      <w:marBottom w:val="0"/>
      <w:divBdr>
        <w:top w:val="none" w:sz="0" w:space="0" w:color="auto"/>
        <w:left w:val="none" w:sz="0" w:space="0" w:color="auto"/>
        <w:bottom w:val="none" w:sz="0" w:space="0" w:color="auto"/>
        <w:right w:val="none" w:sz="0" w:space="0" w:color="auto"/>
      </w:divBdr>
      <w:divsChild>
        <w:div w:id="1085881744">
          <w:marLeft w:val="360"/>
          <w:marRight w:val="0"/>
          <w:marTop w:val="200"/>
          <w:marBottom w:val="0"/>
          <w:divBdr>
            <w:top w:val="none" w:sz="0" w:space="0" w:color="auto"/>
            <w:left w:val="none" w:sz="0" w:space="0" w:color="auto"/>
            <w:bottom w:val="none" w:sz="0" w:space="0" w:color="auto"/>
            <w:right w:val="none" w:sz="0" w:space="0" w:color="auto"/>
          </w:divBdr>
        </w:div>
      </w:divsChild>
    </w:div>
    <w:div w:id="1633705045">
      <w:bodyDiv w:val="1"/>
      <w:marLeft w:val="0"/>
      <w:marRight w:val="0"/>
      <w:marTop w:val="0"/>
      <w:marBottom w:val="0"/>
      <w:divBdr>
        <w:top w:val="none" w:sz="0" w:space="0" w:color="auto"/>
        <w:left w:val="none" w:sz="0" w:space="0" w:color="auto"/>
        <w:bottom w:val="none" w:sz="0" w:space="0" w:color="auto"/>
        <w:right w:val="none" w:sz="0" w:space="0" w:color="auto"/>
      </w:divBdr>
    </w:div>
    <w:div w:id="1685742063">
      <w:bodyDiv w:val="1"/>
      <w:marLeft w:val="0"/>
      <w:marRight w:val="0"/>
      <w:marTop w:val="0"/>
      <w:marBottom w:val="0"/>
      <w:divBdr>
        <w:top w:val="none" w:sz="0" w:space="0" w:color="auto"/>
        <w:left w:val="none" w:sz="0" w:space="0" w:color="auto"/>
        <w:bottom w:val="none" w:sz="0" w:space="0" w:color="auto"/>
        <w:right w:val="none" w:sz="0" w:space="0" w:color="auto"/>
      </w:divBdr>
    </w:div>
    <w:div w:id="1690790744">
      <w:bodyDiv w:val="1"/>
      <w:marLeft w:val="0"/>
      <w:marRight w:val="0"/>
      <w:marTop w:val="0"/>
      <w:marBottom w:val="0"/>
      <w:divBdr>
        <w:top w:val="none" w:sz="0" w:space="0" w:color="auto"/>
        <w:left w:val="none" w:sz="0" w:space="0" w:color="auto"/>
        <w:bottom w:val="none" w:sz="0" w:space="0" w:color="auto"/>
        <w:right w:val="none" w:sz="0" w:space="0" w:color="auto"/>
      </w:divBdr>
    </w:div>
    <w:div w:id="1706447067">
      <w:bodyDiv w:val="1"/>
      <w:marLeft w:val="0"/>
      <w:marRight w:val="0"/>
      <w:marTop w:val="0"/>
      <w:marBottom w:val="0"/>
      <w:divBdr>
        <w:top w:val="none" w:sz="0" w:space="0" w:color="auto"/>
        <w:left w:val="none" w:sz="0" w:space="0" w:color="auto"/>
        <w:bottom w:val="none" w:sz="0" w:space="0" w:color="auto"/>
        <w:right w:val="none" w:sz="0" w:space="0" w:color="auto"/>
      </w:divBdr>
    </w:div>
    <w:div w:id="1714690515">
      <w:bodyDiv w:val="1"/>
      <w:marLeft w:val="0"/>
      <w:marRight w:val="0"/>
      <w:marTop w:val="0"/>
      <w:marBottom w:val="0"/>
      <w:divBdr>
        <w:top w:val="none" w:sz="0" w:space="0" w:color="auto"/>
        <w:left w:val="none" w:sz="0" w:space="0" w:color="auto"/>
        <w:bottom w:val="none" w:sz="0" w:space="0" w:color="auto"/>
        <w:right w:val="none" w:sz="0" w:space="0" w:color="auto"/>
      </w:divBdr>
    </w:div>
    <w:div w:id="1718048808">
      <w:bodyDiv w:val="1"/>
      <w:marLeft w:val="0"/>
      <w:marRight w:val="0"/>
      <w:marTop w:val="0"/>
      <w:marBottom w:val="0"/>
      <w:divBdr>
        <w:top w:val="none" w:sz="0" w:space="0" w:color="auto"/>
        <w:left w:val="none" w:sz="0" w:space="0" w:color="auto"/>
        <w:bottom w:val="none" w:sz="0" w:space="0" w:color="auto"/>
        <w:right w:val="none" w:sz="0" w:space="0" w:color="auto"/>
      </w:divBdr>
    </w:div>
    <w:div w:id="1739329740">
      <w:bodyDiv w:val="1"/>
      <w:marLeft w:val="0"/>
      <w:marRight w:val="0"/>
      <w:marTop w:val="0"/>
      <w:marBottom w:val="0"/>
      <w:divBdr>
        <w:top w:val="none" w:sz="0" w:space="0" w:color="auto"/>
        <w:left w:val="none" w:sz="0" w:space="0" w:color="auto"/>
        <w:bottom w:val="none" w:sz="0" w:space="0" w:color="auto"/>
        <w:right w:val="none" w:sz="0" w:space="0" w:color="auto"/>
      </w:divBdr>
    </w:div>
    <w:div w:id="1743411930">
      <w:bodyDiv w:val="1"/>
      <w:marLeft w:val="0"/>
      <w:marRight w:val="0"/>
      <w:marTop w:val="0"/>
      <w:marBottom w:val="0"/>
      <w:divBdr>
        <w:top w:val="none" w:sz="0" w:space="0" w:color="auto"/>
        <w:left w:val="none" w:sz="0" w:space="0" w:color="auto"/>
        <w:bottom w:val="none" w:sz="0" w:space="0" w:color="auto"/>
        <w:right w:val="none" w:sz="0" w:space="0" w:color="auto"/>
      </w:divBdr>
    </w:div>
    <w:div w:id="1853957838">
      <w:bodyDiv w:val="1"/>
      <w:marLeft w:val="0"/>
      <w:marRight w:val="0"/>
      <w:marTop w:val="0"/>
      <w:marBottom w:val="0"/>
      <w:divBdr>
        <w:top w:val="none" w:sz="0" w:space="0" w:color="auto"/>
        <w:left w:val="none" w:sz="0" w:space="0" w:color="auto"/>
        <w:bottom w:val="none" w:sz="0" w:space="0" w:color="auto"/>
        <w:right w:val="none" w:sz="0" w:space="0" w:color="auto"/>
      </w:divBdr>
    </w:div>
    <w:div w:id="1899129572">
      <w:bodyDiv w:val="1"/>
      <w:marLeft w:val="0"/>
      <w:marRight w:val="0"/>
      <w:marTop w:val="0"/>
      <w:marBottom w:val="0"/>
      <w:divBdr>
        <w:top w:val="none" w:sz="0" w:space="0" w:color="auto"/>
        <w:left w:val="none" w:sz="0" w:space="0" w:color="auto"/>
        <w:bottom w:val="none" w:sz="0" w:space="0" w:color="auto"/>
        <w:right w:val="none" w:sz="0" w:space="0" w:color="auto"/>
      </w:divBdr>
    </w:div>
    <w:div w:id="195836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31161706"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ww.mdcalc.com/ottawa-subarachnoid-hemorrhage-sah-rule-headache-evaluation" TargetMode="Externa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ncbi.nlm.nih.gov/pubmed/31543134" TargetMode="External"/><Relationship Id="rId11" Type="http://schemas.openxmlformats.org/officeDocument/2006/relationships/hyperlink" Target="https://journalfeed.org/article-a-day/2019/fluoroquinolone-and-sudden-death" TargetMode="External"/><Relationship Id="rId5" Type="http://schemas.openxmlformats.org/officeDocument/2006/relationships/hyperlink" Target="https://www.ncbi.nlm.nih.gov/pubmed/31569163" TargetMode="External"/><Relationship Id="rId15" Type="http://schemas.openxmlformats.org/officeDocument/2006/relationships/image" Target="media/image4.png"/><Relationship Id="rId10" Type="http://schemas.openxmlformats.org/officeDocument/2006/relationships/hyperlink" Target="https://www.mdcalc.com/curb-65-score-pneumonia-severity" TargetMode="External"/><Relationship Id="rId4" Type="http://schemas.openxmlformats.org/officeDocument/2006/relationships/webSettings" Target="webSettings.xml"/><Relationship Id="rId9" Type="http://schemas.openxmlformats.org/officeDocument/2006/relationships/hyperlink" Target="https://www.mdcalc.com/psi-port-score-pneumonia-severity-index-cap"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1969</Words>
  <Characters>11225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 Long</dc:creator>
  <cp:keywords/>
  <dc:description/>
  <cp:lastModifiedBy>Brit Long</cp:lastModifiedBy>
  <cp:revision>2</cp:revision>
  <dcterms:created xsi:type="dcterms:W3CDTF">2019-12-18T02:52:00Z</dcterms:created>
  <dcterms:modified xsi:type="dcterms:W3CDTF">2019-12-18T02:52:00Z</dcterms:modified>
</cp:coreProperties>
</file>