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CF55F7" w14:textId="7BDA6F49" w:rsidR="00080C3B" w:rsidRPr="0024285E" w:rsidRDefault="00080C3B" w:rsidP="00080C3B">
      <w:pPr>
        <w:spacing w:before="120" w:after="120"/>
        <w:jc w:val="center"/>
        <w:outlineLvl w:val="0"/>
        <w:rPr>
          <w:rFonts w:asciiTheme="minorBidi" w:hAnsiTheme="minorBidi"/>
          <w:color w:val="000000" w:themeColor="text1"/>
          <w:sz w:val="28"/>
          <w:szCs w:val="28"/>
        </w:rPr>
      </w:pPr>
      <w:r w:rsidRPr="0024285E">
        <w:rPr>
          <w:rFonts w:asciiTheme="minorBidi" w:hAnsiTheme="minorBidi"/>
          <w:b/>
          <w:bCs/>
          <w:color w:val="000000" w:themeColor="text1"/>
          <w:sz w:val="28"/>
          <w:szCs w:val="28"/>
        </w:rPr>
        <w:t>Best of the Best from 2019 – Adult Literature Part II</w:t>
      </w:r>
    </w:p>
    <w:p w14:paraId="5B219F19" w14:textId="77777777" w:rsidR="00080C3B" w:rsidRPr="0024285E" w:rsidRDefault="00080C3B" w:rsidP="00080C3B">
      <w:pPr>
        <w:spacing w:before="120" w:after="120"/>
        <w:jc w:val="center"/>
        <w:outlineLvl w:val="0"/>
        <w:rPr>
          <w:rFonts w:asciiTheme="minorBidi" w:hAnsiTheme="minorBidi"/>
          <w:color w:val="000000" w:themeColor="text1"/>
        </w:rPr>
      </w:pPr>
      <w:r w:rsidRPr="0024285E">
        <w:rPr>
          <w:rFonts w:asciiTheme="minorBidi" w:hAnsiTheme="minorBidi"/>
          <w:color w:val="000000" w:themeColor="text1"/>
        </w:rPr>
        <w:t>Brit Long, MD, FACEP</w:t>
      </w:r>
    </w:p>
    <w:p w14:paraId="1CC91E45" w14:textId="60891791" w:rsidR="00080C3B" w:rsidRPr="008C59DF" w:rsidRDefault="00080C3B" w:rsidP="005E7062">
      <w:pPr>
        <w:pStyle w:val="Heading1"/>
        <w:spacing w:before="120" w:beforeAutospacing="0" w:after="120" w:afterAutospacing="0" w:line="300" w:lineRule="atLeast"/>
        <w:rPr>
          <w:rFonts w:asciiTheme="minorBidi" w:hAnsiTheme="minorBidi" w:cstheme="minorBidi"/>
          <w:color w:val="000000"/>
          <w:sz w:val="24"/>
          <w:szCs w:val="24"/>
        </w:rPr>
      </w:pPr>
      <w:r w:rsidRPr="0024285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Study 1 - </w:t>
      </w:r>
      <w:r w:rsidRPr="0024285E">
        <w:rPr>
          <w:rFonts w:asciiTheme="minorBidi" w:hAnsiTheme="minorBidi" w:cstheme="minorBidi"/>
          <w:color w:val="000000"/>
          <w:sz w:val="24"/>
          <w:szCs w:val="24"/>
        </w:rPr>
        <w:t>Early Use of Norepinephrine in Septic Shock Resuscitation (CENSER). A Randomized Trial.</w:t>
      </w:r>
      <w:r w:rsidR="005E7062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hyperlink r:id="rId5" w:history="1">
        <w:proofErr w:type="spellStart"/>
        <w:r w:rsidRPr="00080C3B">
          <w:rPr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</w:rPr>
          <w:t>Permpikul</w:t>
        </w:r>
        <w:proofErr w:type="spellEnd"/>
        <w:r w:rsidRPr="00080C3B">
          <w:rPr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</w:rPr>
          <w:t xml:space="preserve"> C</w:t>
        </w:r>
      </w:hyperlink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begin"/>
      </w:r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instrText xml:space="preserve"> HYPERLINK "https://www.ncbi.nlm.nih.gov/pubmed/?term=Tongyoo%20S%5BAuthor%5D&amp;cauthor=true&amp;cauthor_uid=30704260" </w:instrText>
      </w:r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separate"/>
      </w:r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>Tongyoo</w:t>
      </w:r>
      <w:proofErr w:type="spellEnd"/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 xml:space="preserve"> S</w:t>
      </w:r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end"/>
      </w:r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begin"/>
      </w:r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instrText xml:space="preserve"> HYPERLINK "https://www.ncbi.nlm.nih.gov/pubmed/?term=Viarasilpa%20T%5BAuthor%5D&amp;cauthor=true&amp;cauthor_uid=30704260" </w:instrText>
      </w:r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separate"/>
      </w:r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>Viarasilpa</w:t>
      </w:r>
      <w:proofErr w:type="spellEnd"/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 xml:space="preserve"> T</w:t>
      </w:r>
      <w:r w:rsidRPr="00080C3B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end"/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 xml:space="preserve">, et al. </w:t>
      </w:r>
      <w:hyperlink r:id="rId6" w:tooltip="American journal of respiratory and critical care medicine." w:history="1">
        <w:r w:rsidRPr="000C51F2">
          <w:rPr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</w:rPr>
          <w:t xml:space="preserve">Am J Respir </w:t>
        </w:r>
        <w:proofErr w:type="spellStart"/>
        <w:r w:rsidRPr="000C51F2">
          <w:rPr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</w:rPr>
          <w:t>Crit</w:t>
        </w:r>
        <w:proofErr w:type="spellEnd"/>
        <w:r w:rsidRPr="000C51F2">
          <w:rPr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</w:rPr>
          <w:t xml:space="preserve"> Care Med.</w:t>
        </w:r>
      </w:hyperlink>
      <w:r w:rsidRPr="005E7062">
        <w:rPr>
          <w:rFonts w:asciiTheme="minorBidi" w:hAnsiTheme="minorBidi" w:cstheme="minorBidi"/>
          <w:b w:val="0"/>
          <w:bCs w:val="0"/>
          <w:color w:val="000000"/>
          <w:sz w:val="24"/>
          <w:szCs w:val="24"/>
          <w:shd w:val="clear" w:color="auto" w:fill="FFFFFF"/>
        </w:rPr>
        <w:t xml:space="preserve"> 2019 </w:t>
      </w:r>
      <w:r w:rsidRPr="008C59DF">
        <w:rPr>
          <w:rFonts w:asciiTheme="minorBidi" w:hAnsiTheme="minorBidi" w:cstheme="minorBidi"/>
          <w:b w:val="0"/>
          <w:bCs w:val="0"/>
          <w:color w:val="000000"/>
          <w:sz w:val="24"/>
          <w:szCs w:val="24"/>
          <w:shd w:val="clear" w:color="auto" w:fill="FFFFFF"/>
        </w:rPr>
        <w:t>May 1;199(9):1097-1105.</w:t>
      </w:r>
      <w:r w:rsidRPr="008C59DF">
        <w:rPr>
          <w:rFonts w:asciiTheme="minorBidi" w:hAnsiTheme="minorBidi" w:cstheme="minorBidi"/>
          <w:color w:val="000000"/>
          <w:sz w:val="24"/>
          <w:szCs w:val="24"/>
          <w:shd w:val="clear" w:color="auto" w:fill="FFFFFF"/>
        </w:rPr>
        <w:t> </w:t>
      </w:r>
    </w:p>
    <w:p w14:paraId="1B7491C8" w14:textId="54333A6C" w:rsidR="00080C3B" w:rsidRPr="0024285E" w:rsidRDefault="00080C3B" w:rsidP="00080C3B">
      <w:pPr>
        <w:rPr>
          <w:rFonts w:asciiTheme="minorBidi" w:eastAsia="Times New Roman" w:hAnsiTheme="minorBidi"/>
          <w:color w:val="000000"/>
          <w:shd w:val="clear" w:color="auto" w:fill="FFFFFF"/>
        </w:rPr>
      </w:pPr>
      <w:r w:rsidRPr="008C59DF">
        <w:rPr>
          <w:rFonts w:asciiTheme="minorBidi" w:eastAsia="Times New Roman" w:hAnsiTheme="minorBidi"/>
          <w:b/>
          <w:bCs/>
          <w:color w:val="000000"/>
          <w:shd w:val="clear" w:color="auto" w:fill="FFFFFF"/>
        </w:rPr>
        <w:t>Takeaway</w:t>
      </w:r>
      <w:r w:rsidRPr="008C59DF">
        <w:rPr>
          <w:rFonts w:asciiTheme="minorBidi" w:eastAsia="Times New Roman" w:hAnsiTheme="minorBidi"/>
          <w:color w:val="000000"/>
          <w:shd w:val="clear" w:color="auto" w:fill="FFFFFF"/>
        </w:rPr>
        <w:t xml:space="preserve"> – While this </w:t>
      </w:r>
      <w:r w:rsidR="008C59DF" w:rsidRPr="008C59DF">
        <w:rPr>
          <w:rFonts w:ascii="Arial" w:eastAsia="Times New Roman" w:hAnsi="Arial" w:cs="Arial"/>
          <w:color w:val="363636"/>
        </w:rPr>
        <w:t>prospective, single center, randomized, double-blind, placebo-controlled</w:t>
      </w:r>
      <w:r w:rsidRPr="008C59DF">
        <w:rPr>
          <w:rFonts w:asciiTheme="minorBidi" w:eastAsia="Times New Roman" w:hAnsiTheme="minorBidi"/>
          <w:color w:val="000000"/>
          <w:shd w:val="clear" w:color="auto" w:fill="FFFFFF"/>
        </w:rPr>
        <w:t xml:space="preserve"> </w:t>
      </w:r>
      <w:r w:rsidR="008C59DF" w:rsidRPr="008C59DF">
        <w:rPr>
          <w:rFonts w:asciiTheme="minorBidi" w:eastAsia="Times New Roman" w:hAnsiTheme="minorBidi"/>
          <w:color w:val="000000"/>
          <w:shd w:val="clear" w:color="auto" w:fill="FFFFFF"/>
        </w:rPr>
        <w:t xml:space="preserve">trial </w:t>
      </w:r>
      <w:r w:rsidRPr="008C59DF">
        <w:rPr>
          <w:rFonts w:asciiTheme="minorBidi" w:eastAsia="Times New Roman" w:hAnsiTheme="minorBidi"/>
          <w:color w:val="000000"/>
          <w:shd w:val="clear" w:color="auto" w:fill="FFFFFF"/>
        </w:rPr>
        <w:t xml:space="preserve">requires further validation, early norepinephrine is associated with increased control of shock </w:t>
      </w:r>
      <w:r w:rsidR="001357C7" w:rsidRPr="008C59DF">
        <w:rPr>
          <w:rFonts w:asciiTheme="minorBidi" w:eastAsia="Times New Roman" w:hAnsiTheme="minorBidi"/>
          <w:color w:val="000000"/>
          <w:shd w:val="clear" w:color="auto" w:fill="FFFFFF"/>
        </w:rPr>
        <w:t xml:space="preserve">within 6 hours </w:t>
      </w:r>
      <w:r w:rsidRPr="008C59DF">
        <w:rPr>
          <w:rFonts w:asciiTheme="minorBidi" w:eastAsia="Times New Roman" w:hAnsiTheme="minorBidi"/>
          <w:color w:val="000000"/>
          <w:shd w:val="clear" w:color="auto" w:fill="FFFFFF"/>
        </w:rPr>
        <w:t>in patients with septic shock. Provide fluids first, but if the patient is euvolemic or hypervolemic</w:t>
      </w:r>
      <w:r w:rsidRPr="0024285E">
        <w:rPr>
          <w:rFonts w:asciiTheme="minorBidi" w:eastAsia="Times New Roman" w:hAnsiTheme="minorBidi"/>
          <w:color w:val="000000"/>
          <w:shd w:val="clear" w:color="auto" w:fill="FFFFFF"/>
        </w:rPr>
        <w:t>, consider initiating norepinephrine.</w:t>
      </w:r>
    </w:p>
    <w:p w14:paraId="44A367C9" w14:textId="4BD1553F" w:rsidR="00080C3B" w:rsidRPr="0024285E" w:rsidRDefault="00080C3B" w:rsidP="00080C3B">
      <w:pPr>
        <w:rPr>
          <w:rFonts w:asciiTheme="minorBidi" w:eastAsia="Times New Roman" w:hAnsiTheme="minorBidi"/>
          <w:color w:val="000000"/>
          <w:shd w:val="clear" w:color="auto" w:fill="FFFFFF"/>
        </w:rPr>
      </w:pPr>
    </w:p>
    <w:p w14:paraId="414280C4" w14:textId="0B9C2246" w:rsidR="00080C3B" w:rsidRPr="0024285E" w:rsidRDefault="00080C3B" w:rsidP="00080C3B">
      <w:pPr>
        <w:pStyle w:val="NormalWeb"/>
        <w:spacing w:before="0" w:beforeAutospacing="0" w:after="0" w:afterAutospacing="0"/>
        <w:textAlignment w:val="baseline"/>
        <w:rPr>
          <w:rFonts w:asciiTheme="minorBidi" w:hAnsiTheme="minorBidi" w:cstheme="minorBidi"/>
          <w:color w:val="404040"/>
        </w:rPr>
      </w:pPr>
      <w:r w:rsidRPr="005E7062">
        <w:rPr>
          <w:rFonts w:asciiTheme="minorBidi" w:hAnsiTheme="minorBidi" w:cstheme="minorBidi"/>
          <w:b/>
          <w:bCs/>
          <w:color w:val="000000"/>
          <w:shd w:val="clear" w:color="auto" w:fill="FFFFFF"/>
        </w:rPr>
        <w:t xml:space="preserve">Study 2 - </w:t>
      </w:r>
      <w:r w:rsidRPr="005E7062">
        <w:rPr>
          <w:rFonts w:asciiTheme="minorBidi" w:hAnsiTheme="minorBidi" w:cstheme="minorBidi"/>
          <w:b/>
          <w:bCs/>
          <w:color w:val="404040"/>
        </w:rPr>
        <w:t xml:space="preserve">Blood Culture Results Before and After Antimicrobial Administration in Patients </w:t>
      </w:r>
      <w:proofErr w:type="gramStart"/>
      <w:r w:rsidRPr="005E7062">
        <w:rPr>
          <w:rFonts w:asciiTheme="minorBidi" w:hAnsiTheme="minorBidi" w:cstheme="minorBidi"/>
          <w:b/>
          <w:bCs/>
          <w:color w:val="404040"/>
        </w:rPr>
        <w:t>With</w:t>
      </w:r>
      <w:proofErr w:type="gramEnd"/>
      <w:r w:rsidRPr="005E7062">
        <w:rPr>
          <w:rFonts w:asciiTheme="minorBidi" w:hAnsiTheme="minorBidi" w:cstheme="minorBidi"/>
          <w:b/>
          <w:bCs/>
          <w:color w:val="404040"/>
        </w:rPr>
        <w:t xml:space="preserve"> Severe Manifestations of Sepsis</w:t>
      </w:r>
      <w:r w:rsidRPr="005E7062">
        <w:rPr>
          <w:rStyle w:val="titleseparator"/>
          <w:rFonts w:asciiTheme="minorBidi" w:hAnsiTheme="minorBidi" w:cstheme="minorBidi"/>
          <w:b/>
          <w:bCs/>
          <w:color w:val="404040"/>
          <w:bdr w:val="none" w:sz="0" w:space="0" w:color="auto" w:frame="1"/>
        </w:rPr>
        <w:t>:</w:t>
      </w:r>
      <w:r w:rsidRPr="005E7062">
        <w:rPr>
          <w:rStyle w:val="apple-converted-space"/>
          <w:rFonts w:asciiTheme="minorBidi" w:eastAsiaTheme="majorEastAsia" w:hAnsiTheme="minorBidi" w:cstheme="minorBidi"/>
          <w:b/>
          <w:bCs/>
          <w:color w:val="404040"/>
          <w:bdr w:val="none" w:sz="0" w:space="0" w:color="auto" w:frame="1"/>
        </w:rPr>
        <w:t> </w:t>
      </w:r>
      <w:r w:rsidRPr="005E7062">
        <w:rPr>
          <w:rStyle w:val="Subtitle1"/>
          <w:rFonts w:asciiTheme="minorBidi" w:hAnsiTheme="minorBidi" w:cstheme="minorBidi"/>
          <w:b/>
          <w:bCs/>
          <w:color w:val="404040"/>
          <w:bdr w:val="none" w:sz="0" w:space="0" w:color="auto" w:frame="1"/>
        </w:rPr>
        <w:t>A Diagnostic Study</w:t>
      </w:r>
      <w:r w:rsidRPr="0024285E">
        <w:rPr>
          <w:rStyle w:val="Subtitle1"/>
          <w:rFonts w:asciiTheme="minorBidi" w:hAnsiTheme="minorBidi" w:cstheme="minorBidi"/>
          <w:color w:val="404040"/>
          <w:bdr w:val="none" w:sz="0" w:space="0" w:color="auto" w:frame="1"/>
        </w:rPr>
        <w:t xml:space="preserve">. </w:t>
      </w:r>
      <w:r w:rsidRPr="0024285E">
        <w:rPr>
          <w:rStyle w:val="Subtitle1"/>
          <w:rFonts w:asciiTheme="minorBidi" w:hAnsiTheme="minorBidi" w:cstheme="minorBidi"/>
          <w:color w:val="404040"/>
          <w:bdr w:val="none" w:sz="0" w:space="0" w:color="auto" w:frame="1"/>
          <w:lang w:val="nb-NO"/>
        </w:rPr>
        <w:t xml:space="preserve">Cheng MP, </w:t>
      </w:r>
      <w:proofErr w:type="spellStart"/>
      <w:r w:rsidRPr="0024285E">
        <w:rPr>
          <w:rStyle w:val="Subtitle1"/>
          <w:rFonts w:asciiTheme="minorBidi" w:hAnsiTheme="minorBidi" w:cstheme="minorBidi"/>
          <w:color w:val="404040"/>
          <w:bdr w:val="none" w:sz="0" w:space="0" w:color="auto" w:frame="1"/>
          <w:lang w:val="nb-NO"/>
        </w:rPr>
        <w:t>Stenstrom</w:t>
      </w:r>
      <w:proofErr w:type="spellEnd"/>
      <w:r w:rsidRPr="0024285E">
        <w:rPr>
          <w:rStyle w:val="Subtitle1"/>
          <w:rFonts w:asciiTheme="minorBidi" w:hAnsiTheme="minorBidi" w:cstheme="minorBidi"/>
          <w:color w:val="404040"/>
          <w:bdr w:val="none" w:sz="0" w:space="0" w:color="auto" w:frame="1"/>
          <w:lang w:val="nb-NO"/>
        </w:rPr>
        <w:t xml:space="preserve"> R, </w:t>
      </w:r>
      <w:proofErr w:type="spellStart"/>
      <w:r w:rsidRPr="0024285E">
        <w:rPr>
          <w:rStyle w:val="Subtitle1"/>
          <w:rFonts w:asciiTheme="minorBidi" w:hAnsiTheme="minorBidi" w:cstheme="minorBidi"/>
          <w:color w:val="404040"/>
          <w:bdr w:val="none" w:sz="0" w:space="0" w:color="auto" w:frame="1"/>
          <w:lang w:val="nb-NO"/>
        </w:rPr>
        <w:t>Paquette</w:t>
      </w:r>
      <w:proofErr w:type="spellEnd"/>
      <w:r w:rsidRPr="0024285E">
        <w:rPr>
          <w:rStyle w:val="Subtitle1"/>
          <w:rFonts w:asciiTheme="minorBidi" w:hAnsiTheme="minorBidi" w:cstheme="minorBidi"/>
          <w:color w:val="404040"/>
          <w:bdr w:val="none" w:sz="0" w:space="0" w:color="auto" w:frame="1"/>
          <w:lang w:val="nb-NO"/>
        </w:rPr>
        <w:t xml:space="preserve"> K, et al. </w:t>
      </w:r>
      <w:r w:rsidRPr="001357C7">
        <w:rPr>
          <w:rStyle w:val="Emphasis"/>
          <w:rFonts w:asciiTheme="minorBidi" w:hAnsiTheme="minorBidi" w:cstheme="minorBidi"/>
          <w:i w:val="0"/>
          <w:iCs w:val="0"/>
          <w:color w:val="404040"/>
          <w:bdr w:val="none" w:sz="0" w:space="0" w:color="auto" w:frame="1"/>
          <w:lang w:val="nb-NO"/>
        </w:rPr>
        <w:t>Ann Intern Med</w:t>
      </w:r>
      <w:r w:rsidRPr="001357C7">
        <w:rPr>
          <w:rStyle w:val="Emphasis"/>
          <w:rFonts w:asciiTheme="minorBidi" w:hAnsiTheme="minorBidi" w:cstheme="minorBidi"/>
          <w:color w:val="404040"/>
          <w:bdr w:val="none" w:sz="0" w:space="0" w:color="auto" w:frame="1"/>
          <w:lang w:val="nb-NO"/>
        </w:rPr>
        <w:t>.</w:t>
      </w:r>
      <w:r w:rsidRPr="001357C7">
        <w:rPr>
          <w:rStyle w:val="apple-converted-space"/>
          <w:rFonts w:asciiTheme="minorBidi" w:eastAsiaTheme="majorEastAsia" w:hAnsiTheme="minorBidi" w:cstheme="minorBidi"/>
          <w:color w:val="404040"/>
          <w:lang w:val="nb-NO"/>
        </w:rPr>
        <w:t> </w:t>
      </w:r>
      <w:r w:rsidRPr="001357C7">
        <w:rPr>
          <w:rFonts w:asciiTheme="minorBidi" w:hAnsiTheme="minorBidi" w:cstheme="minorBidi"/>
          <w:color w:val="404040"/>
          <w:lang w:val="nb-NO"/>
        </w:rPr>
        <w:t>2019.</w:t>
      </w:r>
      <w:r w:rsidRPr="001357C7">
        <w:rPr>
          <w:rStyle w:val="apple-converted-space"/>
          <w:rFonts w:asciiTheme="minorBidi" w:eastAsiaTheme="majorEastAsia" w:hAnsiTheme="minorBidi" w:cstheme="minorBidi"/>
          <w:color w:val="404040"/>
          <w:lang w:val="nb-NO"/>
        </w:rPr>
        <w:t> </w:t>
      </w:r>
      <w:r w:rsidRPr="001357C7">
        <w:rPr>
          <w:rFonts w:asciiTheme="minorBidi" w:hAnsiTheme="minorBidi" w:cstheme="minorBidi"/>
          <w:color w:val="404040"/>
          <w:lang w:val="nb-NO"/>
        </w:rPr>
        <w:t xml:space="preserve"> </w:t>
      </w:r>
      <w:r w:rsidRPr="005E7062">
        <w:rPr>
          <w:rStyle w:val="subhead-sans"/>
          <w:rFonts w:asciiTheme="minorBidi" w:hAnsiTheme="minorBidi" w:cstheme="minorBidi"/>
          <w:color w:val="404040"/>
          <w:bdr w:val="none" w:sz="0" w:space="0" w:color="auto" w:frame="1"/>
        </w:rPr>
        <w:t>DOI:</w:t>
      </w:r>
      <w:r w:rsidRPr="0024285E">
        <w:rPr>
          <w:rStyle w:val="apple-converted-space"/>
          <w:rFonts w:asciiTheme="minorBidi" w:eastAsiaTheme="majorEastAsia" w:hAnsiTheme="minorBidi" w:cstheme="minorBidi"/>
          <w:b/>
          <w:bCs/>
          <w:color w:val="404040"/>
          <w:bdr w:val="none" w:sz="0" w:space="0" w:color="auto" w:frame="1"/>
        </w:rPr>
        <w:t> </w:t>
      </w:r>
      <w:r w:rsidRPr="0024285E">
        <w:rPr>
          <w:rFonts w:asciiTheme="minorBidi" w:hAnsiTheme="minorBidi" w:cstheme="minorBidi"/>
          <w:color w:val="404040"/>
        </w:rPr>
        <w:t>10.7326/M19-1696.</w:t>
      </w:r>
    </w:p>
    <w:p w14:paraId="47D857FD" w14:textId="77777777" w:rsidR="005E7062" w:rsidRDefault="005E7062" w:rsidP="00080C3B">
      <w:pPr>
        <w:pStyle w:val="NormalWeb"/>
        <w:spacing w:before="0" w:beforeAutospacing="0" w:after="0" w:afterAutospacing="0"/>
        <w:textAlignment w:val="baseline"/>
        <w:rPr>
          <w:rFonts w:asciiTheme="minorBidi" w:hAnsiTheme="minorBidi" w:cstheme="minorBidi"/>
          <w:b/>
          <w:bCs/>
          <w:color w:val="404040"/>
        </w:rPr>
      </w:pPr>
    </w:p>
    <w:p w14:paraId="7FDB9D8F" w14:textId="3A85D89B" w:rsidR="00080C3B" w:rsidRPr="0024285E" w:rsidRDefault="00080C3B" w:rsidP="00080C3B">
      <w:pPr>
        <w:pStyle w:val="NormalWeb"/>
        <w:spacing w:before="0" w:beforeAutospacing="0" w:after="0" w:afterAutospacing="0"/>
        <w:textAlignment w:val="baseline"/>
        <w:rPr>
          <w:rFonts w:asciiTheme="minorBidi" w:hAnsiTheme="minorBidi" w:cstheme="minorBidi"/>
          <w:color w:val="404040"/>
        </w:rPr>
      </w:pPr>
      <w:r w:rsidRPr="005E7062">
        <w:rPr>
          <w:rFonts w:asciiTheme="minorBidi" w:hAnsiTheme="minorBidi" w:cstheme="minorBidi"/>
          <w:b/>
          <w:bCs/>
          <w:color w:val="404040"/>
        </w:rPr>
        <w:t>Takeaway</w:t>
      </w:r>
      <w:r w:rsidRPr="0024285E">
        <w:rPr>
          <w:rFonts w:asciiTheme="minorBidi" w:hAnsiTheme="minorBidi" w:cstheme="minorBidi"/>
          <w:color w:val="404040"/>
        </w:rPr>
        <w:t xml:space="preserve"> – </w:t>
      </w:r>
      <w:r w:rsidR="008C59DF">
        <w:rPr>
          <w:rFonts w:asciiTheme="minorBidi" w:hAnsiTheme="minorBidi" w:cstheme="minorBidi"/>
          <w:color w:val="404040"/>
        </w:rPr>
        <w:t>This diagnostic study evaluated the sensitivity of blood cultures obtained before and within 2 hours of initiating antibiotics in patients with severe sepsis. Results suggest a 12% absolute difference in yield of blood cultures obtained before antibiotics (31.4% vs. 19.4%). Thus, a</w:t>
      </w:r>
      <w:r w:rsidRPr="0024285E">
        <w:rPr>
          <w:rFonts w:asciiTheme="minorBidi" w:hAnsiTheme="minorBidi" w:cstheme="minorBidi"/>
          <w:color w:val="404040"/>
        </w:rPr>
        <w:t>ttempt to obtain blood cultures before antibiotics</w:t>
      </w:r>
      <w:r w:rsidR="008C59DF">
        <w:rPr>
          <w:rFonts w:asciiTheme="minorBidi" w:hAnsiTheme="minorBidi" w:cstheme="minorBidi"/>
          <w:color w:val="404040"/>
        </w:rPr>
        <w:t xml:space="preserve">, </w:t>
      </w:r>
      <w:r w:rsidRPr="0024285E">
        <w:rPr>
          <w:rFonts w:asciiTheme="minorBidi" w:hAnsiTheme="minorBidi" w:cstheme="minorBidi"/>
          <w:color w:val="404040"/>
        </w:rPr>
        <w:t>but if there is any delay in obtaining cultures, do not withhold antibiotics.</w:t>
      </w:r>
    </w:p>
    <w:p w14:paraId="0B57B798" w14:textId="77777777" w:rsidR="00080C3B" w:rsidRPr="0024285E" w:rsidRDefault="00080C3B" w:rsidP="00080C3B">
      <w:pPr>
        <w:pStyle w:val="NormalWeb"/>
        <w:spacing w:before="0" w:beforeAutospacing="0" w:after="0" w:afterAutospacing="0"/>
        <w:textAlignment w:val="baseline"/>
        <w:rPr>
          <w:rFonts w:asciiTheme="minorBidi" w:hAnsiTheme="minorBidi" w:cstheme="minorBidi"/>
          <w:color w:val="404040"/>
        </w:rPr>
      </w:pPr>
    </w:p>
    <w:p w14:paraId="5F0EAA48" w14:textId="4CF5543D" w:rsidR="00080C3B" w:rsidRPr="00C3592D" w:rsidRDefault="00080C3B" w:rsidP="00C3592D">
      <w:pPr>
        <w:rPr>
          <w:rFonts w:asciiTheme="minorBidi" w:eastAsia="Times New Roman" w:hAnsiTheme="minorBidi"/>
          <w:color w:val="000000" w:themeColor="text1"/>
        </w:rPr>
      </w:pPr>
      <w:r w:rsidRPr="00C3592D">
        <w:rPr>
          <w:rFonts w:asciiTheme="minorBidi" w:hAnsiTheme="minorBidi"/>
          <w:b/>
          <w:bCs/>
          <w:color w:val="000000" w:themeColor="text1"/>
        </w:rPr>
        <w:t xml:space="preserve">Study 3 – </w:t>
      </w:r>
      <w:r w:rsidR="00C3592D" w:rsidRPr="00C3592D">
        <w:rPr>
          <w:rFonts w:asciiTheme="minorBidi" w:hAnsiTheme="minorBidi"/>
          <w:b/>
          <w:bCs/>
          <w:color w:val="000000" w:themeColor="text1"/>
        </w:rPr>
        <w:t>Pregnancy-Adapted YEARS Algorithm for Diagnosis of Suspected Pulmonary Embolism.</w:t>
      </w:r>
      <w:r w:rsidR="00C3592D" w:rsidRPr="00C3592D">
        <w:rPr>
          <w:rFonts w:asciiTheme="minorBidi" w:hAnsiTheme="minorBidi"/>
          <w:color w:val="000000" w:themeColor="text1"/>
        </w:rPr>
        <w:t xml:space="preserve"> </w:t>
      </w:r>
      <w:hyperlink r:id="rId7" w:history="1">
        <w:r w:rsidR="00C3592D" w:rsidRPr="00C3592D">
          <w:rPr>
            <w:rFonts w:asciiTheme="minorBidi" w:eastAsia="Times New Roman" w:hAnsiTheme="minorBidi"/>
            <w:color w:val="000000" w:themeColor="text1"/>
            <w:lang w:val="da-DK"/>
          </w:rPr>
          <w:t>van der Pol LM</w:t>
        </w:r>
      </w:hyperlink>
      <w:r w:rsidR="00C3592D" w:rsidRPr="00C3592D">
        <w:rPr>
          <w:rFonts w:asciiTheme="minorBidi" w:eastAsia="Times New Roman" w:hAnsiTheme="minorBidi"/>
          <w:color w:val="000000" w:themeColor="text1"/>
          <w:shd w:val="clear" w:color="auto" w:fill="FFFFFF"/>
          <w:lang w:val="da-DK"/>
        </w:rPr>
        <w:t>, </w:t>
      </w:r>
      <w:proofErr w:type="spellStart"/>
      <w:r w:rsidR="00FE644C">
        <w:fldChar w:fldCharType="begin"/>
      </w:r>
      <w:r w:rsidR="00FE644C" w:rsidRPr="001357C7">
        <w:rPr>
          <w:lang w:val="da-DK"/>
        </w:rPr>
        <w:instrText xml:space="preserve"> HYPERLINK "https://www.ncbi.nlm.nih.gov/pubmed/?term=Tromeur%20C%5BAuthor%5D&amp;cauthor=true&amp;cauthor_uid=30893534" </w:instrText>
      </w:r>
      <w:r w:rsidR="00FE644C">
        <w:fldChar w:fldCharType="separate"/>
      </w:r>
      <w:r w:rsidR="00C3592D" w:rsidRPr="00C3592D">
        <w:rPr>
          <w:rFonts w:asciiTheme="minorBidi" w:eastAsia="Times New Roman" w:hAnsiTheme="minorBidi"/>
          <w:color w:val="000000" w:themeColor="text1"/>
          <w:lang w:val="da-DK"/>
        </w:rPr>
        <w:t>Tromeur</w:t>
      </w:r>
      <w:proofErr w:type="spellEnd"/>
      <w:r w:rsidR="00C3592D" w:rsidRPr="00C3592D">
        <w:rPr>
          <w:rFonts w:asciiTheme="minorBidi" w:eastAsia="Times New Roman" w:hAnsiTheme="minorBidi"/>
          <w:color w:val="000000" w:themeColor="text1"/>
          <w:lang w:val="da-DK"/>
        </w:rPr>
        <w:t xml:space="preserve"> C</w:t>
      </w:r>
      <w:r w:rsidR="00FE644C">
        <w:rPr>
          <w:rFonts w:asciiTheme="minorBidi" w:eastAsia="Times New Roman" w:hAnsiTheme="minorBidi"/>
          <w:color w:val="000000" w:themeColor="text1"/>
          <w:lang w:val="da-DK"/>
        </w:rPr>
        <w:fldChar w:fldCharType="end"/>
      </w:r>
      <w:r w:rsidR="00C3592D" w:rsidRPr="00C3592D">
        <w:rPr>
          <w:rFonts w:asciiTheme="minorBidi" w:eastAsia="Times New Roman" w:hAnsiTheme="minorBidi"/>
          <w:color w:val="000000" w:themeColor="text1"/>
          <w:shd w:val="clear" w:color="auto" w:fill="FFFFFF"/>
          <w:lang w:val="da-DK"/>
        </w:rPr>
        <w:t>, </w:t>
      </w:r>
      <w:hyperlink r:id="rId8" w:history="1">
        <w:r w:rsidR="00C3592D" w:rsidRPr="00C3592D">
          <w:rPr>
            <w:rFonts w:asciiTheme="minorBidi" w:eastAsia="Times New Roman" w:hAnsiTheme="minorBidi"/>
            <w:color w:val="000000" w:themeColor="text1"/>
            <w:lang w:val="da-DK"/>
          </w:rPr>
          <w:t>Bistervels IM</w:t>
        </w:r>
      </w:hyperlink>
      <w:r w:rsidR="00C3592D" w:rsidRPr="00C3592D">
        <w:rPr>
          <w:rFonts w:asciiTheme="minorBidi" w:eastAsia="Times New Roman" w:hAnsiTheme="minorBidi"/>
          <w:color w:val="000000" w:themeColor="text1"/>
          <w:lang w:val="da-DK"/>
        </w:rPr>
        <w:t xml:space="preserve">, et al. </w:t>
      </w:r>
      <w:hyperlink r:id="rId9" w:tooltip="The New England journal of medicine." w:history="1">
        <w:r w:rsidR="00C3592D" w:rsidRPr="00C3592D">
          <w:rPr>
            <w:rFonts w:asciiTheme="minorBidi" w:eastAsia="Times New Roman" w:hAnsiTheme="minorBidi"/>
            <w:color w:val="000000" w:themeColor="text1"/>
            <w:lang w:val="da-DK"/>
          </w:rPr>
          <w:t xml:space="preserve">N </w:t>
        </w:r>
        <w:proofErr w:type="spellStart"/>
        <w:r w:rsidR="00C3592D" w:rsidRPr="00C3592D">
          <w:rPr>
            <w:rFonts w:asciiTheme="minorBidi" w:eastAsia="Times New Roman" w:hAnsiTheme="minorBidi"/>
            <w:color w:val="000000" w:themeColor="text1"/>
            <w:lang w:val="da-DK"/>
          </w:rPr>
          <w:t>Engl</w:t>
        </w:r>
        <w:proofErr w:type="spellEnd"/>
        <w:r w:rsidR="00C3592D" w:rsidRPr="00C3592D">
          <w:rPr>
            <w:rFonts w:asciiTheme="minorBidi" w:eastAsia="Times New Roman" w:hAnsiTheme="minorBidi"/>
            <w:color w:val="000000" w:themeColor="text1"/>
            <w:lang w:val="da-DK"/>
          </w:rPr>
          <w:t xml:space="preserve"> J Med.</w:t>
        </w:r>
      </w:hyperlink>
      <w:r w:rsidR="00C3592D" w:rsidRPr="00C3592D">
        <w:rPr>
          <w:rFonts w:asciiTheme="minorBidi" w:eastAsia="Times New Roman" w:hAnsiTheme="minorBidi"/>
          <w:color w:val="000000" w:themeColor="text1"/>
          <w:shd w:val="clear" w:color="auto" w:fill="FFFFFF"/>
          <w:lang w:val="da-DK"/>
        </w:rPr>
        <w:t> </w:t>
      </w:r>
      <w:r w:rsidR="00C3592D" w:rsidRPr="00C3592D">
        <w:rPr>
          <w:rFonts w:asciiTheme="minorBidi" w:eastAsia="Times New Roman" w:hAnsiTheme="minorBidi"/>
          <w:color w:val="000000" w:themeColor="text1"/>
          <w:shd w:val="clear" w:color="auto" w:fill="FFFFFF"/>
        </w:rPr>
        <w:t>2019 Mar 21;380(12):1139-1149.</w:t>
      </w:r>
    </w:p>
    <w:p w14:paraId="64184620" w14:textId="77777777" w:rsidR="000C51F2" w:rsidRDefault="000C51F2" w:rsidP="00080C3B">
      <w:pPr>
        <w:textAlignment w:val="baseline"/>
        <w:rPr>
          <w:rFonts w:asciiTheme="minorBidi" w:hAnsiTheme="minorBidi"/>
          <w:b/>
          <w:bCs/>
          <w:color w:val="404040"/>
        </w:rPr>
      </w:pPr>
    </w:p>
    <w:p w14:paraId="0A44997C" w14:textId="7A601384" w:rsidR="00080C3B" w:rsidRPr="008C59DF" w:rsidRDefault="00080C3B" w:rsidP="00080C3B">
      <w:pPr>
        <w:textAlignment w:val="baseline"/>
        <w:rPr>
          <w:rFonts w:asciiTheme="minorBidi" w:eastAsia="Times New Roman" w:hAnsiTheme="minorBidi"/>
          <w:color w:val="363636"/>
        </w:rPr>
      </w:pPr>
      <w:r w:rsidRPr="008C59DF">
        <w:rPr>
          <w:rFonts w:asciiTheme="minorBidi" w:hAnsiTheme="minorBidi"/>
          <w:b/>
          <w:bCs/>
          <w:color w:val="404040"/>
        </w:rPr>
        <w:t>Takeaway</w:t>
      </w:r>
      <w:r w:rsidRPr="008C59DF">
        <w:rPr>
          <w:rFonts w:asciiTheme="minorBidi" w:hAnsiTheme="minorBidi"/>
          <w:color w:val="404040"/>
        </w:rPr>
        <w:t xml:space="preserve"> – </w:t>
      </w:r>
      <w:r w:rsidR="008C59DF" w:rsidRPr="008C59DF">
        <w:rPr>
          <w:rFonts w:asciiTheme="minorBidi" w:hAnsiTheme="minorBidi"/>
          <w:color w:val="404040"/>
        </w:rPr>
        <w:t xml:space="preserve">This </w:t>
      </w:r>
      <w:r w:rsidR="008C59DF" w:rsidRPr="008C59DF">
        <w:rPr>
          <w:rFonts w:ascii="Arial" w:eastAsia="Times New Roman" w:hAnsi="Arial" w:cs="Arial"/>
          <w:color w:val="363636"/>
          <w:bdr w:val="none" w:sz="0" w:space="0" w:color="auto" w:frame="1"/>
        </w:rPr>
        <w:t xml:space="preserve">prospective, multicenter, observational study evaluated the cumulative incidence of symptomatic VTE during a 3 month follow up period using the YEARS algorithm in pregnant women. </w:t>
      </w:r>
      <w:r w:rsidRPr="008C59DF">
        <w:rPr>
          <w:rFonts w:asciiTheme="minorBidi" w:hAnsiTheme="minorBidi"/>
          <w:color w:val="404040"/>
        </w:rPr>
        <w:t xml:space="preserve">While further validation is needed, </w:t>
      </w:r>
      <w:r w:rsidRPr="008C59DF">
        <w:rPr>
          <w:rFonts w:asciiTheme="minorBidi" w:eastAsia="Times New Roman" w:hAnsiTheme="minorBidi"/>
          <w:color w:val="363636"/>
          <w:bdr w:val="none" w:sz="0" w:space="0" w:color="auto" w:frame="1"/>
        </w:rPr>
        <w:t xml:space="preserve">the pregnancy-adapted YEARS algorithm safely ruled out PE in this cohort of patients with a </w:t>
      </w:r>
      <w:r w:rsidR="001357C7" w:rsidRPr="008C59DF">
        <w:rPr>
          <w:rFonts w:asciiTheme="minorBidi" w:eastAsia="Times New Roman" w:hAnsiTheme="minorBidi"/>
          <w:color w:val="363636"/>
          <w:bdr w:val="none" w:sz="0" w:space="0" w:color="auto" w:frame="1"/>
        </w:rPr>
        <w:t>significant decrease in use of CTPA</w:t>
      </w:r>
      <w:r w:rsidRPr="008C59DF">
        <w:rPr>
          <w:rFonts w:asciiTheme="minorBidi" w:eastAsia="Times New Roman" w:hAnsiTheme="minorBidi"/>
          <w:color w:val="363636"/>
          <w:bdr w:val="none" w:sz="0" w:space="0" w:color="auto" w:frame="1"/>
        </w:rPr>
        <w:t>. </w:t>
      </w:r>
    </w:p>
    <w:p w14:paraId="38C039D0" w14:textId="533F201F" w:rsidR="00080C3B" w:rsidRPr="008C59DF" w:rsidRDefault="00080C3B" w:rsidP="00080C3B">
      <w:pPr>
        <w:rPr>
          <w:rFonts w:asciiTheme="minorBidi" w:eastAsia="Times New Roman" w:hAnsiTheme="minorBidi"/>
        </w:rPr>
      </w:pPr>
    </w:p>
    <w:p w14:paraId="6A826364" w14:textId="38A73EF1" w:rsidR="00080C3B" w:rsidRPr="008C59DF" w:rsidRDefault="00080C3B" w:rsidP="00080C3B">
      <w:pPr>
        <w:rPr>
          <w:rFonts w:asciiTheme="minorBidi" w:eastAsia="Times New Roman" w:hAnsiTheme="minorBidi"/>
        </w:rPr>
      </w:pPr>
    </w:p>
    <w:p w14:paraId="2AECB6E3" w14:textId="709726AF" w:rsidR="00080C3B" w:rsidRPr="005E7062" w:rsidRDefault="00080C3B" w:rsidP="00080C3B">
      <w:pPr>
        <w:rPr>
          <w:rFonts w:asciiTheme="minorBidi" w:hAnsiTheme="minorBidi"/>
          <w:lang w:val="pt-BR"/>
        </w:rPr>
      </w:pPr>
      <w:r w:rsidRPr="008C59DF">
        <w:rPr>
          <w:rFonts w:asciiTheme="minorBidi" w:hAnsiTheme="minorBidi"/>
          <w:b/>
          <w:bCs/>
        </w:rPr>
        <w:t>Study 4 – Asymptomatic bacteriuria</w:t>
      </w:r>
      <w:r w:rsidR="00C3592D" w:rsidRPr="008C59DF">
        <w:rPr>
          <w:rFonts w:asciiTheme="minorBidi" w:hAnsiTheme="minorBidi"/>
          <w:b/>
          <w:bCs/>
        </w:rPr>
        <w:t>.</w:t>
      </w:r>
      <w:r w:rsidRPr="008C59DF">
        <w:rPr>
          <w:rFonts w:asciiTheme="minorBidi" w:hAnsiTheme="minorBidi"/>
        </w:rPr>
        <w:t xml:space="preserve"> Clin</w:t>
      </w:r>
      <w:r w:rsidRPr="005E7062">
        <w:rPr>
          <w:rFonts w:asciiTheme="minorBidi" w:hAnsiTheme="minorBidi"/>
        </w:rPr>
        <w:t xml:space="preserve"> Infect Dis. </w:t>
      </w:r>
      <w:r w:rsidRPr="005E7062">
        <w:rPr>
          <w:rFonts w:asciiTheme="minorBidi" w:hAnsiTheme="minorBidi"/>
          <w:lang w:val="pt-BR"/>
        </w:rPr>
        <w:t xml:space="preserve">Mar 21. </w:t>
      </w:r>
      <w:proofErr w:type="spellStart"/>
      <w:r w:rsidRPr="005E7062">
        <w:rPr>
          <w:rFonts w:asciiTheme="minorBidi" w:hAnsiTheme="minorBidi"/>
          <w:lang w:val="pt-BR"/>
        </w:rPr>
        <w:t>pii</w:t>
      </w:r>
      <w:proofErr w:type="spellEnd"/>
      <w:r w:rsidRPr="005E7062">
        <w:rPr>
          <w:rFonts w:asciiTheme="minorBidi" w:hAnsiTheme="minorBidi"/>
          <w:lang w:val="pt-BR"/>
        </w:rPr>
        <w:t xml:space="preserve">: ciy1121. </w:t>
      </w:r>
      <w:proofErr w:type="spellStart"/>
      <w:r w:rsidRPr="005E7062">
        <w:rPr>
          <w:rFonts w:asciiTheme="minorBidi" w:hAnsiTheme="minorBidi"/>
          <w:lang w:val="pt-BR"/>
        </w:rPr>
        <w:t>doi</w:t>
      </w:r>
      <w:proofErr w:type="spellEnd"/>
      <w:r w:rsidRPr="005E7062">
        <w:rPr>
          <w:rFonts w:asciiTheme="minorBidi" w:hAnsiTheme="minorBidi"/>
          <w:lang w:val="pt-BR"/>
        </w:rPr>
        <w:t>: 10.1093/</w:t>
      </w:r>
      <w:proofErr w:type="spellStart"/>
      <w:r w:rsidRPr="005E7062">
        <w:rPr>
          <w:rFonts w:asciiTheme="minorBidi" w:hAnsiTheme="minorBidi"/>
          <w:lang w:val="pt-BR"/>
        </w:rPr>
        <w:t>cid</w:t>
      </w:r>
      <w:proofErr w:type="spellEnd"/>
      <w:r w:rsidRPr="005E7062">
        <w:rPr>
          <w:rFonts w:asciiTheme="minorBidi" w:hAnsiTheme="minorBidi"/>
          <w:lang w:val="pt-BR"/>
        </w:rPr>
        <w:t>/ciy11201921.</w:t>
      </w:r>
    </w:p>
    <w:p w14:paraId="5630E96C" w14:textId="51B46903" w:rsidR="00080C3B" w:rsidRDefault="00080C3B" w:rsidP="00080C3B">
      <w:pPr>
        <w:rPr>
          <w:rFonts w:asciiTheme="minorBidi" w:hAnsiTheme="minorBidi"/>
          <w:b/>
          <w:bCs/>
          <w:lang w:val="pt-BR"/>
        </w:rPr>
      </w:pPr>
    </w:p>
    <w:p w14:paraId="112D8BB5" w14:textId="3F4AE7B9" w:rsidR="005E7062" w:rsidRPr="001357C7" w:rsidRDefault="005E7062" w:rsidP="00080C3B">
      <w:pPr>
        <w:rPr>
          <w:rFonts w:asciiTheme="minorBidi" w:hAnsiTheme="minorBidi"/>
          <w:b/>
          <w:bCs/>
        </w:rPr>
      </w:pPr>
      <w:r w:rsidRPr="001357C7">
        <w:rPr>
          <w:rFonts w:asciiTheme="minorBidi" w:hAnsiTheme="minorBidi"/>
          <w:b/>
          <w:bCs/>
        </w:rPr>
        <w:t>Takeaway</w:t>
      </w:r>
      <w:r w:rsidR="000C51F2" w:rsidRPr="001357C7">
        <w:rPr>
          <w:rFonts w:asciiTheme="minorBidi" w:hAnsiTheme="minorBidi"/>
        </w:rPr>
        <w:t xml:space="preserve"> -</w:t>
      </w:r>
      <w:r w:rsidR="000C51F2" w:rsidRPr="001357C7">
        <w:rPr>
          <w:rFonts w:asciiTheme="minorBidi" w:hAnsiTheme="minorBidi"/>
          <w:b/>
          <w:bCs/>
        </w:rPr>
        <w:t xml:space="preserve"> </w:t>
      </w:r>
    </w:p>
    <w:p w14:paraId="2666C23C" w14:textId="406B6220" w:rsidR="008C59DF" w:rsidRDefault="008C59DF" w:rsidP="00080C3B">
      <w:pPr>
        <w:rPr>
          <w:rFonts w:asciiTheme="minorBidi" w:hAnsiTheme="minorBidi"/>
        </w:rPr>
      </w:pPr>
      <w:r>
        <w:rPr>
          <w:rFonts w:asciiTheme="minorBidi" w:hAnsiTheme="minorBidi"/>
        </w:rPr>
        <w:t>This IDSA guideline provides important information on asymptomatic bacteriuria.</w:t>
      </w:r>
    </w:p>
    <w:p w14:paraId="6CBF473F" w14:textId="77777777" w:rsidR="008C59DF" w:rsidRDefault="008C59DF" w:rsidP="00080C3B">
      <w:pPr>
        <w:rPr>
          <w:rFonts w:asciiTheme="minorBidi" w:hAnsiTheme="minorBidi"/>
        </w:rPr>
      </w:pPr>
    </w:p>
    <w:p w14:paraId="2D77AE99" w14:textId="4F362F3E" w:rsidR="00080C3B" w:rsidRPr="005E7062" w:rsidRDefault="00080C3B" w:rsidP="00080C3B">
      <w:pPr>
        <w:rPr>
          <w:rFonts w:asciiTheme="minorBidi" w:hAnsiTheme="minorBidi"/>
        </w:rPr>
      </w:pPr>
      <w:r w:rsidRPr="005E7062">
        <w:rPr>
          <w:rFonts w:asciiTheme="minorBidi" w:hAnsiTheme="minorBidi"/>
        </w:rPr>
        <w:t>Definition - &gt; 10</w:t>
      </w:r>
      <w:r w:rsidRPr="005E7062">
        <w:rPr>
          <w:rFonts w:asciiTheme="minorBidi" w:hAnsiTheme="minorBidi"/>
          <w:vertAlign w:val="superscript"/>
        </w:rPr>
        <w:t>5</w:t>
      </w:r>
      <w:r w:rsidRPr="005E7062">
        <w:rPr>
          <w:rFonts w:asciiTheme="minorBidi" w:hAnsiTheme="minorBidi"/>
        </w:rPr>
        <w:t xml:space="preserve"> colony-forming units/mL without signs/symptoms of UTI</w:t>
      </w:r>
    </w:p>
    <w:p w14:paraId="6371FFAB" w14:textId="77777777" w:rsidR="00080C3B" w:rsidRPr="005E7062" w:rsidRDefault="00080C3B" w:rsidP="00080C3B">
      <w:pPr>
        <w:rPr>
          <w:rFonts w:asciiTheme="minorBidi" w:hAnsiTheme="minorBidi"/>
        </w:rPr>
      </w:pPr>
    </w:p>
    <w:p w14:paraId="276A2607" w14:textId="77777777" w:rsidR="00080C3B" w:rsidRPr="005E7062" w:rsidRDefault="00080C3B" w:rsidP="00080C3B">
      <w:pPr>
        <w:rPr>
          <w:rFonts w:asciiTheme="minorBidi" w:hAnsiTheme="minorBidi"/>
        </w:rPr>
      </w:pPr>
      <w:r w:rsidRPr="005E7062">
        <w:rPr>
          <w:rFonts w:asciiTheme="minorBidi" w:hAnsiTheme="minorBidi"/>
        </w:rPr>
        <w:t>Scope of the problem: Affects 25-50% of elderly women and 15-40% of elderly men in long-term facilities. Antibiotics are overused and can be harmful.</w:t>
      </w:r>
    </w:p>
    <w:p w14:paraId="2E41AB64" w14:textId="77777777" w:rsidR="00080C3B" w:rsidRPr="005E7062" w:rsidRDefault="00080C3B" w:rsidP="00080C3B">
      <w:pPr>
        <w:rPr>
          <w:rFonts w:asciiTheme="minorBidi" w:hAnsiTheme="minorBidi"/>
        </w:rPr>
      </w:pPr>
    </w:p>
    <w:p w14:paraId="2858F4CB" w14:textId="1F3A480D" w:rsidR="00080C3B" w:rsidRPr="005E7062" w:rsidRDefault="00080C3B" w:rsidP="00080C3B">
      <w:pPr>
        <w:rPr>
          <w:rFonts w:asciiTheme="minorBidi" w:hAnsiTheme="minorBidi"/>
        </w:rPr>
      </w:pPr>
      <w:r w:rsidRPr="005E7062">
        <w:rPr>
          <w:rFonts w:asciiTheme="minorBidi" w:hAnsiTheme="minorBidi"/>
        </w:rPr>
        <w:t>Test in: Pregnant patients, those undergoing endourological procedure</w:t>
      </w:r>
      <w:r w:rsidR="001357C7">
        <w:rPr>
          <w:rFonts w:asciiTheme="minorBidi" w:hAnsiTheme="minorBidi"/>
        </w:rPr>
        <w:t>.</w:t>
      </w:r>
    </w:p>
    <w:p w14:paraId="77B3E4F0" w14:textId="7C924E69" w:rsidR="00080C3B" w:rsidRPr="005E7062" w:rsidRDefault="00080C3B" w:rsidP="00080C3B">
      <w:pPr>
        <w:rPr>
          <w:rFonts w:asciiTheme="minorBidi" w:hAnsiTheme="minorBidi"/>
        </w:rPr>
      </w:pPr>
      <w:r w:rsidRPr="005E7062">
        <w:rPr>
          <w:rFonts w:asciiTheme="minorBidi" w:hAnsiTheme="minorBidi"/>
        </w:rPr>
        <w:lastRenderedPageBreak/>
        <w:t xml:space="preserve">Do not test in: </w:t>
      </w:r>
      <w:r w:rsidR="001357C7">
        <w:rPr>
          <w:rFonts w:asciiTheme="minorBidi" w:hAnsiTheme="minorBidi"/>
        </w:rPr>
        <w:t>P</w:t>
      </w:r>
      <w:r w:rsidRPr="005E7062">
        <w:rPr>
          <w:rFonts w:asciiTheme="minorBidi" w:hAnsiTheme="minorBidi"/>
        </w:rPr>
        <w:t xml:space="preserve">ediatric patients, the elderly, and those with indwelling </w:t>
      </w:r>
      <w:r w:rsidR="001357C7">
        <w:rPr>
          <w:rFonts w:asciiTheme="minorBidi" w:hAnsiTheme="minorBidi"/>
        </w:rPr>
        <w:t xml:space="preserve">urinary </w:t>
      </w:r>
      <w:r w:rsidRPr="005E7062">
        <w:rPr>
          <w:rFonts w:asciiTheme="minorBidi" w:hAnsiTheme="minorBidi"/>
        </w:rPr>
        <w:t xml:space="preserve">catheters in the absence of symptoms. </w:t>
      </w:r>
    </w:p>
    <w:p w14:paraId="72268449" w14:textId="13F2C676" w:rsidR="00D27463" w:rsidRPr="0024285E" w:rsidRDefault="00E7652B" w:rsidP="00080C3B">
      <w:pPr>
        <w:rPr>
          <w:rFonts w:asciiTheme="minorBidi" w:hAnsiTheme="minorBidi"/>
        </w:rPr>
      </w:pPr>
    </w:p>
    <w:p w14:paraId="1B8BA2D4" w14:textId="74B7A327" w:rsidR="00080C3B" w:rsidRPr="0024285E" w:rsidRDefault="00080C3B" w:rsidP="00080C3B">
      <w:pPr>
        <w:rPr>
          <w:rFonts w:asciiTheme="minorBidi" w:hAnsiTheme="minorBidi"/>
        </w:rPr>
      </w:pPr>
      <w:r w:rsidRPr="0024285E">
        <w:rPr>
          <w:rFonts w:asciiTheme="minorBidi" w:hAnsiTheme="minorBidi"/>
          <w:b/>
          <w:bCs/>
        </w:rPr>
        <w:t>Study 5 – Management of hyperkalemia with insulin and glucose: pearls for the emergency clinician.</w:t>
      </w:r>
      <w:r w:rsidRPr="0024285E">
        <w:rPr>
          <w:rFonts w:asciiTheme="minorBidi" w:hAnsiTheme="minorBidi"/>
        </w:rPr>
        <w:t xml:space="preserve"> Moussavi K, Fitter S, Gabrielson SW. et al.  J </w:t>
      </w:r>
      <w:proofErr w:type="spellStart"/>
      <w:r w:rsidRPr="0024285E">
        <w:rPr>
          <w:rFonts w:asciiTheme="minorBidi" w:hAnsiTheme="minorBidi"/>
        </w:rPr>
        <w:t>Emerg</w:t>
      </w:r>
      <w:proofErr w:type="spellEnd"/>
      <w:r w:rsidRPr="0024285E">
        <w:rPr>
          <w:rFonts w:asciiTheme="minorBidi" w:hAnsiTheme="minorBidi"/>
        </w:rPr>
        <w:t xml:space="preserve"> Med. 2019 May 11. </w:t>
      </w:r>
      <w:proofErr w:type="spellStart"/>
      <w:r w:rsidRPr="0024285E">
        <w:rPr>
          <w:rFonts w:asciiTheme="minorBidi" w:hAnsiTheme="minorBidi"/>
        </w:rPr>
        <w:t>pii</w:t>
      </w:r>
      <w:proofErr w:type="spellEnd"/>
      <w:r w:rsidRPr="0024285E">
        <w:rPr>
          <w:rFonts w:asciiTheme="minorBidi" w:hAnsiTheme="minorBidi"/>
        </w:rPr>
        <w:t>: S0736-4679(19)30250-1.</w:t>
      </w:r>
    </w:p>
    <w:p w14:paraId="56F25663" w14:textId="77777777" w:rsidR="00080C3B" w:rsidRPr="005E7062" w:rsidRDefault="00080C3B" w:rsidP="00080C3B">
      <w:pPr>
        <w:rPr>
          <w:rFonts w:asciiTheme="minorBidi" w:hAnsiTheme="minorBidi"/>
        </w:rPr>
      </w:pPr>
      <w:r w:rsidRPr="005E7062">
        <w:rPr>
          <w:rFonts w:asciiTheme="minorBidi" w:hAnsiTheme="minorBidi"/>
        </w:rPr>
        <w:t>This narrative review evaluates several pearls and pitfalls in treating hyperkalemia with insulin and glucose.</w:t>
      </w:r>
    </w:p>
    <w:p w14:paraId="29E8F6B9" w14:textId="77777777" w:rsidR="00080C3B" w:rsidRPr="0024285E" w:rsidRDefault="00080C3B" w:rsidP="00080C3B">
      <w:pPr>
        <w:rPr>
          <w:rFonts w:asciiTheme="minorBidi" w:hAnsiTheme="minorBidi"/>
          <w:b/>
          <w:bCs/>
        </w:rPr>
      </w:pPr>
    </w:p>
    <w:p w14:paraId="694DDA1E" w14:textId="30191B31" w:rsidR="00080C3B" w:rsidRPr="000C51F2" w:rsidRDefault="00080C3B" w:rsidP="00080C3B">
      <w:pPr>
        <w:rPr>
          <w:rFonts w:asciiTheme="minorBidi" w:hAnsiTheme="minorBidi"/>
        </w:rPr>
      </w:pPr>
      <w:r w:rsidRPr="0024285E">
        <w:rPr>
          <w:rFonts w:asciiTheme="minorBidi" w:hAnsiTheme="minorBidi"/>
          <w:b/>
          <w:bCs/>
        </w:rPr>
        <w:t>Takeaways</w:t>
      </w:r>
      <w:r w:rsidR="000C51F2">
        <w:rPr>
          <w:rFonts w:asciiTheme="minorBidi" w:hAnsiTheme="minorBidi"/>
          <w:b/>
          <w:bCs/>
        </w:rPr>
        <w:t xml:space="preserve"> </w:t>
      </w:r>
      <w:r w:rsidR="000C51F2" w:rsidRPr="000C51F2">
        <w:rPr>
          <w:rFonts w:asciiTheme="minorBidi" w:hAnsiTheme="minorBidi"/>
        </w:rPr>
        <w:t xml:space="preserve">- </w:t>
      </w:r>
    </w:p>
    <w:p w14:paraId="6AB5929A" w14:textId="77777777" w:rsidR="00080C3B" w:rsidRPr="0024285E" w:rsidRDefault="00080C3B" w:rsidP="00080C3B">
      <w:pPr>
        <w:rPr>
          <w:rFonts w:asciiTheme="minorBidi" w:hAnsiTheme="minorBidi"/>
        </w:rPr>
      </w:pPr>
      <w:r w:rsidRPr="0024285E">
        <w:rPr>
          <w:rFonts w:asciiTheme="minorBidi" w:hAnsiTheme="minorBidi"/>
        </w:rPr>
        <w:t>1) Decrease insulin dose or increase dextrose for: Glucose &lt; 150 mg/dL, 2) AKI/CKD, 3) No hx of DM, 4) Weight &lt; 60 kg, 5) Females.</w:t>
      </w:r>
    </w:p>
    <w:p w14:paraId="52C618C1" w14:textId="131575E3" w:rsidR="00080C3B" w:rsidRPr="0024285E" w:rsidRDefault="00080C3B" w:rsidP="00080C3B">
      <w:pPr>
        <w:rPr>
          <w:rFonts w:asciiTheme="minorBidi" w:hAnsiTheme="minorBidi"/>
        </w:rPr>
      </w:pPr>
      <w:r w:rsidRPr="0024285E">
        <w:rPr>
          <w:rFonts w:asciiTheme="minorBidi" w:hAnsiTheme="minorBidi"/>
        </w:rPr>
        <w:t xml:space="preserve">2) 10 units of </w:t>
      </w:r>
      <w:r w:rsidR="00E7652B">
        <w:rPr>
          <w:rFonts w:asciiTheme="minorBidi" w:hAnsiTheme="minorBidi"/>
        </w:rPr>
        <w:t xml:space="preserve">regular </w:t>
      </w:r>
      <w:r w:rsidRPr="0024285E">
        <w:rPr>
          <w:rFonts w:asciiTheme="minorBidi" w:hAnsiTheme="minorBidi"/>
        </w:rPr>
        <w:t>insulin may not be needed for everyone. 5 units may be just as eff</w:t>
      </w:r>
      <w:r w:rsidR="001357C7">
        <w:rPr>
          <w:rFonts w:asciiTheme="minorBidi" w:hAnsiTheme="minorBidi"/>
        </w:rPr>
        <w:t>ective with reduced risk of causing hypoglycemia.</w:t>
      </w:r>
      <w:r w:rsidR="00E7652B">
        <w:rPr>
          <w:rFonts w:asciiTheme="minorBidi" w:hAnsiTheme="minorBidi"/>
        </w:rPr>
        <w:t xml:space="preserve"> Rapid-acting insulin is also an option.</w:t>
      </w:r>
    </w:p>
    <w:p w14:paraId="14B072CA" w14:textId="1FA0FBF5" w:rsidR="00080C3B" w:rsidRPr="0024285E" w:rsidRDefault="00080C3B" w:rsidP="00080C3B">
      <w:pPr>
        <w:rPr>
          <w:rFonts w:asciiTheme="minorBidi" w:hAnsiTheme="minorBidi"/>
        </w:rPr>
      </w:pPr>
      <w:r w:rsidRPr="0024285E">
        <w:rPr>
          <w:rFonts w:asciiTheme="minorBidi" w:hAnsiTheme="minorBidi"/>
        </w:rPr>
        <w:t xml:space="preserve">3) </w:t>
      </w:r>
      <w:r w:rsidR="00E7652B">
        <w:rPr>
          <w:rFonts w:asciiTheme="minorBidi" w:hAnsiTheme="minorBidi"/>
        </w:rPr>
        <w:t>1 amp D50</w:t>
      </w:r>
      <w:bookmarkStart w:id="0" w:name="_GoBack"/>
      <w:bookmarkEnd w:id="0"/>
      <w:r w:rsidR="00E7652B">
        <w:rPr>
          <w:rFonts w:asciiTheme="minorBidi" w:hAnsiTheme="minorBidi"/>
        </w:rPr>
        <w:t xml:space="preserve"> </w:t>
      </w:r>
      <w:r w:rsidRPr="0024285E">
        <w:rPr>
          <w:rFonts w:asciiTheme="minorBidi" w:hAnsiTheme="minorBidi"/>
        </w:rPr>
        <w:t>may not be enough</w:t>
      </w:r>
      <w:r w:rsidR="007673A0">
        <w:rPr>
          <w:rFonts w:asciiTheme="minorBidi" w:hAnsiTheme="minorBidi"/>
        </w:rPr>
        <w:t xml:space="preserve"> to prevent hypoglycemia</w:t>
      </w:r>
      <w:r w:rsidRPr="0024285E">
        <w:rPr>
          <w:rFonts w:asciiTheme="minorBidi" w:hAnsiTheme="minorBidi"/>
        </w:rPr>
        <w:t>. Consider higher doses in those with renal disease (</w:t>
      </w:r>
      <w:r w:rsidR="00E7652B">
        <w:rPr>
          <w:rFonts w:asciiTheme="minorBidi" w:hAnsiTheme="minorBidi"/>
        </w:rPr>
        <w:t>2 amps D50</w:t>
      </w:r>
      <w:r w:rsidRPr="0024285E">
        <w:rPr>
          <w:rFonts w:asciiTheme="minorBidi" w:hAnsiTheme="minorBidi"/>
        </w:rPr>
        <w:t xml:space="preserve"> or 4 </w:t>
      </w:r>
      <w:proofErr w:type="spellStart"/>
      <w:r w:rsidRPr="0024285E">
        <w:rPr>
          <w:rFonts w:asciiTheme="minorBidi" w:hAnsiTheme="minorBidi"/>
        </w:rPr>
        <w:t>hr</w:t>
      </w:r>
      <w:proofErr w:type="spellEnd"/>
      <w:r w:rsidRPr="0024285E">
        <w:rPr>
          <w:rFonts w:asciiTheme="minorBidi" w:hAnsiTheme="minorBidi"/>
        </w:rPr>
        <w:t xml:space="preserve"> IV infusion of D10).</w:t>
      </w:r>
    </w:p>
    <w:p w14:paraId="50307E95" w14:textId="77777777" w:rsidR="00080C3B" w:rsidRPr="0024285E" w:rsidRDefault="00080C3B" w:rsidP="00080C3B">
      <w:pPr>
        <w:rPr>
          <w:rFonts w:asciiTheme="minorBidi" w:hAnsiTheme="minorBidi"/>
        </w:rPr>
      </w:pPr>
      <w:r w:rsidRPr="0024285E">
        <w:rPr>
          <w:rFonts w:asciiTheme="minorBidi" w:hAnsiTheme="minorBidi"/>
        </w:rPr>
        <w:t>4) Monitor serum glucose every hour for 4-6 hrs. D50 boluses last around 1 hr.</w:t>
      </w:r>
    </w:p>
    <w:p w14:paraId="448BB269" w14:textId="77777777" w:rsidR="00080C3B" w:rsidRPr="0024285E" w:rsidRDefault="00080C3B" w:rsidP="00080C3B">
      <w:pPr>
        <w:rPr>
          <w:rFonts w:asciiTheme="minorBidi" w:hAnsiTheme="minorBidi"/>
          <w:b/>
          <w:bCs/>
        </w:rPr>
      </w:pPr>
    </w:p>
    <w:p w14:paraId="37A9CC42" w14:textId="54DD301D" w:rsidR="00080C3B" w:rsidRPr="0024285E" w:rsidRDefault="00080C3B" w:rsidP="00080C3B">
      <w:pPr>
        <w:rPr>
          <w:rFonts w:asciiTheme="minorBidi" w:hAnsiTheme="minorBidi"/>
        </w:rPr>
      </w:pPr>
      <w:r w:rsidRPr="0024285E">
        <w:rPr>
          <w:rFonts w:asciiTheme="minorBidi" w:hAnsiTheme="minorBidi"/>
          <w:b/>
          <w:bCs/>
        </w:rPr>
        <w:t xml:space="preserve">Study 6 – Frequency of prescription filling among adolescents prescribed treatment for sexually transmitted infections in the emergency department. </w:t>
      </w:r>
      <w:r w:rsidRPr="0024285E">
        <w:rPr>
          <w:rFonts w:asciiTheme="minorBidi" w:hAnsiTheme="minorBidi"/>
        </w:rPr>
        <w:t xml:space="preserve">Lieberman A, </w:t>
      </w:r>
      <w:proofErr w:type="spellStart"/>
      <w:r w:rsidRPr="0024285E">
        <w:rPr>
          <w:rFonts w:asciiTheme="minorBidi" w:hAnsiTheme="minorBidi"/>
        </w:rPr>
        <w:t>Badolato</w:t>
      </w:r>
      <w:proofErr w:type="spellEnd"/>
      <w:r w:rsidRPr="0024285E">
        <w:rPr>
          <w:rFonts w:asciiTheme="minorBidi" w:hAnsiTheme="minorBidi"/>
        </w:rPr>
        <w:t xml:space="preserve"> GM, Tran J. JAMA </w:t>
      </w:r>
      <w:proofErr w:type="spellStart"/>
      <w:r w:rsidRPr="0024285E">
        <w:rPr>
          <w:rFonts w:asciiTheme="minorBidi" w:hAnsiTheme="minorBidi"/>
        </w:rPr>
        <w:t>Pediatr</w:t>
      </w:r>
      <w:proofErr w:type="spellEnd"/>
      <w:r w:rsidRPr="0024285E">
        <w:rPr>
          <w:rFonts w:asciiTheme="minorBidi" w:hAnsiTheme="minorBidi"/>
        </w:rPr>
        <w:t>. 2019;173(7):695-697.</w:t>
      </w:r>
    </w:p>
    <w:p w14:paraId="080DC510" w14:textId="77777777" w:rsidR="00080C3B" w:rsidRPr="0024285E" w:rsidRDefault="00080C3B" w:rsidP="00080C3B">
      <w:pPr>
        <w:rPr>
          <w:rFonts w:asciiTheme="minorBidi" w:hAnsiTheme="minorBidi"/>
          <w:b/>
          <w:bCs/>
        </w:rPr>
      </w:pPr>
    </w:p>
    <w:p w14:paraId="63B46B77" w14:textId="74823729" w:rsidR="00080C3B" w:rsidRPr="0024285E" w:rsidRDefault="00080C3B" w:rsidP="005E7062">
      <w:pPr>
        <w:rPr>
          <w:rFonts w:asciiTheme="minorBidi" w:hAnsiTheme="minorBidi"/>
        </w:rPr>
      </w:pPr>
      <w:r w:rsidRPr="0024285E">
        <w:rPr>
          <w:rFonts w:asciiTheme="minorBidi" w:hAnsiTheme="minorBidi"/>
          <w:b/>
          <w:bCs/>
        </w:rPr>
        <w:t xml:space="preserve">Takeaway </w:t>
      </w:r>
      <w:r w:rsidRPr="0024285E">
        <w:rPr>
          <w:rFonts w:asciiTheme="minorBidi" w:hAnsiTheme="minorBidi"/>
        </w:rPr>
        <w:t xml:space="preserve">– This retrospective study of 208 patients found prescriptions were filled in only 57.7% of patients. Consider treating with azithromycin and ceftriaxone in the ED. </w:t>
      </w:r>
    </w:p>
    <w:p w14:paraId="72D46ED9" w14:textId="6215E8DF" w:rsidR="00080C3B" w:rsidRPr="0024285E" w:rsidRDefault="00080C3B" w:rsidP="00080C3B">
      <w:pPr>
        <w:pStyle w:val="Heading1"/>
        <w:spacing w:before="120" w:after="120" w:line="300" w:lineRule="atLeast"/>
        <w:rPr>
          <w:rFonts w:asciiTheme="minorBidi" w:hAnsiTheme="minorBidi" w:cstheme="minorBidi"/>
          <w:color w:val="000000"/>
          <w:sz w:val="24"/>
          <w:szCs w:val="24"/>
        </w:rPr>
      </w:pPr>
      <w:r w:rsidRPr="0024285E">
        <w:rPr>
          <w:rFonts w:asciiTheme="minorBidi" w:hAnsiTheme="minorBidi" w:cstheme="minorBidi"/>
          <w:sz w:val="24"/>
          <w:szCs w:val="24"/>
        </w:rPr>
        <w:t xml:space="preserve">Study 7 - </w:t>
      </w:r>
      <w:r w:rsidRPr="0024285E">
        <w:rPr>
          <w:rFonts w:asciiTheme="minorBidi" w:hAnsiTheme="minorBidi" w:cstheme="minorBidi"/>
          <w:color w:val="000000"/>
          <w:sz w:val="24"/>
          <w:szCs w:val="24"/>
        </w:rPr>
        <w:t xml:space="preserve">Comparison of Oral Ibuprofen at Three Single-Dose Regimens for Treating Acute Pain in the Emergency Department: A Randomized Controlled Trial. </w:t>
      </w:r>
      <w:hyperlink r:id="rId10" w:history="1">
        <w:proofErr w:type="spellStart"/>
        <w:r w:rsidRPr="000C51F2">
          <w:rPr>
            <w:rStyle w:val="Hyperlink"/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  <w:u w:val="none"/>
          </w:rPr>
          <w:t>Motov</w:t>
        </w:r>
        <w:proofErr w:type="spellEnd"/>
        <w:r w:rsidRPr="000C51F2">
          <w:rPr>
            <w:rStyle w:val="Hyperlink"/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  <w:u w:val="none"/>
          </w:rPr>
          <w:t xml:space="preserve"> S</w:t>
        </w:r>
      </w:hyperlink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>,</w:t>
      </w:r>
      <w:r w:rsidRPr="000C51F2">
        <w:rPr>
          <w:rStyle w:val="apple-converted-space"/>
          <w:rFonts w:asciiTheme="minorBidi" w:eastAsiaTheme="majorEastAsia" w:hAnsiTheme="minorBidi" w:cstheme="minorBidi"/>
          <w:b w:val="0"/>
          <w:bCs w:val="0"/>
          <w:color w:val="000000" w:themeColor="text1"/>
          <w:sz w:val="24"/>
          <w:szCs w:val="24"/>
        </w:rPr>
        <w:t> </w:t>
      </w:r>
      <w:proofErr w:type="spellStart"/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begin"/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instrText xml:space="preserve"> HYPERLINK "https://www.ncbi.nlm.nih.gov/pubmed/?term=Masoudi%20A%5BAuthor%5D&amp;cauthor=true&amp;cauthor_uid=31383385" </w:instrText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separate"/>
      </w:r>
      <w:r w:rsidRPr="000C51F2">
        <w:rPr>
          <w:rStyle w:val="Hyperlink"/>
          <w:rFonts w:asciiTheme="minorBidi" w:hAnsiTheme="minorBidi" w:cstheme="minorBidi"/>
          <w:b w:val="0"/>
          <w:bCs w:val="0"/>
          <w:color w:val="000000" w:themeColor="text1"/>
          <w:sz w:val="24"/>
          <w:szCs w:val="24"/>
          <w:u w:val="none"/>
        </w:rPr>
        <w:t>Masoudi</w:t>
      </w:r>
      <w:proofErr w:type="spellEnd"/>
      <w:r w:rsidRPr="000C51F2">
        <w:rPr>
          <w:rStyle w:val="Hyperlink"/>
          <w:rFonts w:asciiTheme="minorBidi" w:hAnsiTheme="minorBidi" w:cstheme="minorBidi"/>
          <w:b w:val="0"/>
          <w:bCs w:val="0"/>
          <w:color w:val="000000" w:themeColor="text1"/>
          <w:sz w:val="24"/>
          <w:szCs w:val="24"/>
          <w:u w:val="none"/>
        </w:rPr>
        <w:t xml:space="preserve"> A</w:t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end"/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>,</w:t>
      </w:r>
      <w:r w:rsidRPr="000C51F2">
        <w:rPr>
          <w:rStyle w:val="apple-converted-space"/>
          <w:rFonts w:asciiTheme="minorBidi" w:eastAsiaTheme="majorEastAsia" w:hAnsiTheme="minorBidi" w:cstheme="minorBidi"/>
          <w:b w:val="0"/>
          <w:bCs w:val="0"/>
          <w:color w:val="000000" w:themeColor="text1"/>
          <w:sz w:val="24"/>
          <w:szCs w:val="24"/>
        </w:rPr>
        <w:t> </w:t>
      </w:r>
      <w:proofErr w:type="spellStart"/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begin"/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instrText xml:space="preserve"> HYPERLINK "https://www.ncbi.nlm.nih.gov/pubmed/?term=Drapkin%20J%5BAuthor%5D&amp;cauthor=true&amp;cauthor_uid=31383385" </w:instrText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separate"/>
      </w:r>
      <w:r w:rsidRPr="000C51F2">
        <w:rPr>
          <w:rStyle w:val="Hyperlink"/>
          <w:rFonts w:asciiTheme="minorBidi" w:hAnsiTheme="minorBidi" w:cstheme="minorBidi"/>
          <w:b w:val="0"/>
          <w:bCs w:val="0"/>
          <w:color w:val="000000" w:themeColor="text1"/>
          <w:sz w:val="24"/>
          <w:szCs w:val="24"/>
          <w:u w:val="none"/>
        </w:rPr>
        <w:t>Drapkin</w:t>
      </w:r>
      <w:proofErr w:type="spellEnd"/>
      <w:r w:rsidRPr="000C51F2">
        <w:rPr>
          <w:rStyle w:val="Hyperlink"/>
          <w:rFonts w:asciiTheme="minorBidi" w:hAnsiTheme="minorBidi" w:cstheme="minorBidi"/>
          <w:b w:val="0"/>
          <w:bCs w:val="0"/>
          <w:color w:val="000000" w:themeColor="text1"/>
          <w:sz w:val="24"/>
          <w:szCs w:val="24"/>
          <w:u w:val="none"/>
        </w:rPr>
        <w:t xml:space="preserve"> J</w:t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fldChar w:fldCharType="end"/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 xml:space="preserve">, et al. </w:t>
      </w:r>
      <w:hyperlink r:id="rId11" w:tooltip="Annals of emergency medicine." w:history="1">
        <w:r w:rsidRPr="000C51F2">
          <w:rPr>
            <w:rStyle w:val="Hyperlink"/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  <w:u w:val="none"/>
          </w:rPr>
          <w:t xml:space="preserve">Ann </w:t>
        </w:r>
        <w:proofErr w:type="spellStart"/>
        <w:r w:rsidRPr="000C51F2">
          <w:rPr>
            <w:rStyle w:val="Hyperlink"/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  <w:u w:val="none"/>
          </w:rPr>
          <w:t>Emerg</w:t>
        </w:r>
        <w:proofErr w:type="spellEnd"/>
        <w:r w:rsidRPr="000C51F2">
          <w:rPr>
            <w:rStyle w:val="Hyperlink"/>
            <w:rFonts w:asciiTheme="minorBidi" w:hAnsiTheme="minorBidi" w:cstheme="minorBidi"/>
            <w:b w:val="0"/>
            <w:bCs w:val="0"/>
            <w:color w:val="000000" w:themeColor="text1"/>
            <w:sz w:val="24"/>
            <w:szCs w:val="24"/>
            <w:u w:val="none"/>
          </w:rPr>
          <w:t xml:space="preserve"> Med.</w:t>
        </w:r>
      </w:hyperlink>
      <w:r w:rsidRPr="000C51F2">
        <w:rPr>
          <w:rStyle w:val="apple-converted-space"/>
          <w:rFonts w:asciiTheme="minorBidi" w:eastAsiaTheme="majorEastAsia" w:hAnsiTheme="minorBidi" w:cstheme="minorBidi"/>
          <w:b w:val="0"/>
          <w:bCs w:val="0"/>
          <w:color w:val="000000" w:themeColor="text1"/>
          <w:sz w:val="24"/>
          <w:szCs w:val="24"/>
        </w:rPr>
        <w:t> </w:t>
      </w:r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 xml:space="preserve">2019 Aug 2. </w:t>
      </w:r>
      <w:proofErr w:type="spellStart"/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>pii</w:t>
      </w:r>
      <w:proofErr w:type="spellEnd"/>
      <w:r w:rsidRPr="000C51F2">
        <w:rPr>
          <w:rFonts w:asciiTheme="minorBidi" w:hAnsiTheme="minorBidi" w:cstheme="minorBidi"/>
          <w:b w:val="0"/>
          <w:bCs w:val="0"/>
          <w:color w:val="000000" w:themeColor="text1"/>
          <w:sz w:val="24"/>
          <w:szCs w:val="24"/>
        </w:rPr>
        <w:t>: S0196-0644(19)30449-4.</w:t>
      </w:r>
    </w:p>
    <w:p w14:paraId="309E3A41" w14:textId="6543E8C6" w:rsidR="00080C3B" w:rsidRPr="00080C3B" w:rsidRDefault="00080C3B" w:rsidP="00080C3B">
      <w:pPr>
        <w:pStyle w:val="Heading1"/>
        <w:spacing w:before="120" w:after="120" w:line="300" w:lineRule="atLeast"/>
        <w:rPr>
          <w:rFonts w:ascii="Arial" w:hAnsi="Arial" w:cs="Arial"/>
          <w:color w:val="000000"/>
          <w:sz w:val="20"/>
          <w:szCs w:val="20"/>
        </w:rPr>
      </w:pPr>
      <w:r w:rsidRPr="0024285E">
        <w:rPr>
          <w:rFonts w:asciiTheme="minorBidi" w:hAnsiTheme="minorBidi" w:cstheme="minorBidi"/>
          <w:color w:val="000000"/>
          <w:sz w:val="24"/>
          <w:szCs w:val="24"/>
        </w:rPr>
        <w:t xml:space="preserve">Takeaway </w:t>
      </w:r>
      <w:r w:rsidRPr="0024285E">
        <w:rPr>
          <w:rFonts w:asciiTheme="minorBidi" w:hAnsiTheme="minorBidi" w:cstheme="minorBidi"/>
          <w:b w:val="0"/>
          <w:bCs w:val="0"/>
          <w:color w:val="000000"/>
          <w:sz w:val="24"/>
          <w:szCs w:val="24"/>
        </w:rPr>
        <w:t>–</w:t>
      </w:r>
      <w:r w:rsidRPr="0024285E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24285E">
        <w:rPr>
          <w:rFonts w:asciiTheme="minorBidi" w:hAnsiTheme="minorBidi" w:cstheme="minorBidi"/>
          <w:b w:val="0"/>
          <w:bCs w:val="0"/>
          <w:color w:val="000000"/>
          <w:sz w:val="24"/>
          <w:szCs w:val="24"/>
        </w:rPr>
        <w:t xml:space="preserve">This double-blind RCT suggests similar reduction in pain with oral ibuprofen at 400 mg, 600 mg, and 800 mg, with no adverse effects. </w:t>
      </w:r>
      <w:r w:rsidR="0024285E" w:rsidRPr="0024285E">
        <w:rPr>
          <w:rFonts w:asciiTheme="minorBidi" w:hAnsiTheme="minorBidi" w:cstheme="minorBidi"/>
          <w:b w:val="0"/>
          <w:bCs w:val="0"/>
          <w:color w:val="000000"/>
          <w:sz w:val="24"/>
          <w:szCs w:val="24"/>
        </w:rPr>
        <w:t>However, pain relief beyond 60 minutes was not evaluat</w:t>
      </w:r>
      <w:r w:rsidR="00FE644C">
        <w:rPr>
          <w:rFonts w:asciiTheme="minorBidi" w:hAnsiTheme="minorBidi" w:cstheme="minorBidi"/>
          <w:b w:val="0"/>
          <w:bCs w:val="0"/>
          <w:color w:val="000000"/>
          <w:sz w:val="24"/>
          <w:szCs w:val="24"/>
        </w:rPr>
        <w:t>ed.</w:t>
      </w:r>
      <w:r w:rsidR="0024285E">
        <w:rPr>
          <w:rFonts w:ascii="Arial" w:hAnsi="Arial" w:cs="Arial"/>
          <w:color w:val="000000"/>
          <w:sz w:val="20"/>
          <w:szCs w:val="20"/>
        </w:rPr>
        <w:t xml:space="preserve"> </w:t>
      </w:r>
    </w:p>
    <w:sectPr w:rsidR="00080C3B" w:rsidRPr="00080C3B" w:rsidSect="00121905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AD3937"/>
    <w:multiLevelType w:val="hybridMultilevel"/>
    <w:tmpl w:val="5D1A14E6"/>
    <w:lvl w:ilvl="0" w:tplc="E92CD622">
      <w:start w:val="1"/>
      <w:numFmt w:val="decimal"/>
      <w:lvlText w:val="%1."/>
      <w:lvlJc w:val="left"/>
      <w:pPr>
        <w:ind w:left="760" w:hanging="400"/>
      </w:pPr>
      <w:rPr>
        <w:rFonts w:asciiTheme="minorBidi" w:hAnsiTheme="minorBidi" w:cs="Times New Roman" w:hint="default"/>
        <w:color w:val="000000" w:themeColor="text1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CB2CCD"/>
    <w:multiLevelType w:val="hybridMultilevel"/>
    <w:tmpl w:val="0A78104A"/>
    <w:lvl w:ilvl="0" w:tplc="192C082E">
      <w:start w:val="1"/>
      <w:numFmt w:val="decimal"/>
      <w:lvlText w:val="%1."/>
      <w:lvlJc w:val="left"/>
      <w:pPr>
        <w:ind w:left="760" w:hanging="400"/>
      </w:pPr>
      <w:rPr>
        <w:rFonts w:asciiTheme="minorBidi" w:hAnsiTheme="minorBidi" w:cs="Times New Roman" w:hint="default"/>
        <w:color w:val="000000" w:themeColor="text1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D14B0E"/>
    <w:multiLevelType w:val="hybridMultilevel"/>
    <w:tmpl w:val="F160A83E"/>
    <w:lvl w:ilvl="0" w:tplc="783292F2">
      <w:start w:val="1"/>
      <w:numFmt w:val="decimal"/>
      <w:lvlText w:val="%1."/>
      <w:lvlJc w:val="left"/>
      <w:pPr>
        <w:ind w:left="760" w:hanging="400"/>
      </w:pPr>
      <w:rPr>
        <w:rFonts w:asciiTheme="minorBidi" w:hAnsiTheme="minorBidi" w:cs="Times New Roman" w:hint="default"/>
        <w:color w:val="000000" w:themeColor="text1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C3B"/>
    <w:rsid w:val="00080C3B"/>
    <w:rsid w:val="000C51F2"/>
    <w:rsid w:val="00121905"/>
    <w:rsid w:val="001357C7"/>
    <w:rsid w:val="0024285E"/>
    <w:rsid w:val="004106DC"/>
    <w:rsid w:val="004D651A"/>
    <w:rsid w:val="005E7062"/>
    <w:rsid w:val="005F650D"/>
    <w:rsid w:val="007673A0"/>
    <w:rsid w:val="007753C3"/>
    <w:rsid w:val="007833B1"/>
    <w:rsid w:val="008A26C3"/>
    <w:rsid w:val="008B1A16"/>
    <w:rsid w:val="008C59DF"/>
    <w:rsid w:val="00C27A16"/>
    <w:rsid w:val="00C3592D"/>
    <w:rsid w:val="00CD2331"/>
    <w:rsid w:val="00D17D55"/>
    <w:rsid w:val="00D300BC"/>
    <w:rsid w:val="00E7652B"/>
    <w:rsid w:val="00FA4696"/>
    <w:rsid w:val="00FE2B76"/>
    <w:rsid w:val="00FE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D834D"/>
  <w14:defaultImageDpi w14:val="32767"/>
  <w15:chartTrackingRefBased/>
  <w15:docId w15:val="{0B20CB44-217A-134B-B512-5BE1AB9D5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80C3B"/>
  </w:style>
  <w:style w:type="paragraph" w:styleId="Heading1">
    <w:name w:val="heading 1"/>
    <w:basedOn w:val="Normal"/>
    <w:link w:val="Heading1Char"/>
    <w:uiPriority w:val="9"/>
    <w:qFormat/>
    <w:rsid w:val="00080C3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80C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0C3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080C3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80C3B"/>
  </w:style>
  <w:style w:type="character" w:customStyle="1" w:styleId="Heading5Char">
    <w:name w:val="Heading 5 Char"/>
    <w:basedOn w:val="DefaultParagraphFont"/>
    <w:link w:val="Heading5"/>
    <w:uiPriority w:val="9"/>
    <w:rsid w:val="00080C3B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itleseparator">
    <w:name w:val="titleseparator"/>
    <w:basedOn w:val="DefaultParagraphFont"/>
    <w:rsid w:val="00080C3B"/>
  </w:style>
  <w:style w:type="character" w:customStyle="1" w:styleId="Subtitle1">
    <w:name w:val="Subtitle1"/>
    <w:basedOn w:val="DefaultParagraphFont"/>
    <w:rsid w:val="00080C3B"/>
  </w:style>
  <w:style w:type="paragraph" w:styleId="NormalWeb">
    <w:name w:val="Normal (Web)"/>
    <w:basedOn w:val="Normal"/>
    <w:uiPriority w:val="99"/>
    <w:unhideWhenUsed/>
    <w:rsid w:val="00080C3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080C3B"/>
    <w:rPr>
      <w:i/>
      <w:iCs/>
    </w:rPr>
  </w:style>
  <w:style w:type="character" w:customStyle="1" w:styleId="subhead-sans">
    <w:name w:val="subhead-sans"/>
    <w:basedOn w:val="DefaultParagraphFont"/>
    <w:rsid w:val="00080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2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Bistervels%20IM%5BAuthor%5D&amp;cauthor=true&amp;cauthor_uid=3089353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ubmed/?term=van%20der%20Pol%20LM%5BAuthor%5D&amp;cauthor=true&amp;cauthor_uid=3089353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pubmed/30704260" TargetMode="External"/><Relationship Id="rId11" Type="http://schemas.openxmlformats.org/officeDocument/2006/relationships/hyperlink" Target="https://www.ncbi.nlm.nih.gov/pubmed/31383385" TargetMode="External"/><Relationship Id="rId5" Type="http://schemas.openxmlformats.org/officeDocument/2006/relationships/hyperlink" Target="https://www.ncbi.nlm.nih.gov/pubmed/?term=Permpikul%20C%5BAuthor%5D&amp;cauthor=true&amp;cauthor_uid=30704260" TargetMode="External"/><Relationship Id="rId10" Type="http://schemas.openxmlformats.org/officeDocument/2006/relationships/hyperlink" Target="https://www.ncbi.nlm.nih.gov/pubmed/?term=Motov%20S%5BAuthor%5D&amp;cauthor=true&amp;cauthor_uid=3138338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3089353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 Long</dc:creator>
  <cp:keywords/>
  <dc:description/>
  <cp:lastModifiedBy>Brit Long</cp:lastModifiedBy>
  <cp:revision>9</cp:revision>
  <dcterms:created xsi:type="dcterms:W3CDTF">2019-09-23T21:25:00Z</dcterms:created>
  <dcterms:modified xsi:type="dcterms:W3CDTF">2019-10-03T19:54:00Z</dcterms:modified>
</cp:coreProperties>
</file>